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F3BFC5">
      <w:pPr>
        <w:rPr>
          <w:color w:val="auto"/>
          <w:highlight w:val="none"/>
        </w:rPr>
      </w:pPr>
      <w:bookmarkStart w:id="31" w:name="_GoBack"/>
    </w:p>
    <w:p w14:paraId="3D10C5A1">
      <w:pPr>
        <w:rPr>
          <w:color w:val="auto"/>
          <w:highlight w:val="none"/>
        </w:rPr>
      </w:pPr>
    </w:p>
    <w:p w14:paraId="477A7BE4">
      <w:pPr>
        <w:rPr>
          <w:color w:val="auto"/>
          <w:highlight w:val="none"/>
        </w:rPr>
      </w:pPr>
    </w:p>
    <w:p w14:paraId="40EFC1D4">
      <w:pPr>
        <w:rPr>
          <w:color w:val="auto"/>
          <w:highlight w:val="none"/>
        </w:rPr>
      </w:pPr>
    </w:p>
    <w:p w14:paraId="48EBC05A">
      <w:pPr>
        <w:rPr>
          <w:color w:val="auto"/>
          <w:sz w:val="40"/>
          <w:szCs w:val="40"/>
          <w:highlight w:val="none"/>
        </w:rPr>
      </w:pPr>
    </w:p>
    <w:p w14:paraId="173F0A79">
      <w:pPr>
        <w:pStyle w:val="2"/>
        <w:keepNext w:val="0"/>
        <w:keepLines w:val="0"/>
        <w:spacing w:before="0" w:after="240" w:line="240" w:lineRule="auto"/>
        <w:jc w:val="center"/>
        <w:rPr>
          <w:rFonts w:ascii="黑体" w:hAnsi="黑体" w:eastAsia="黑体" w:cs="Times New Roman"/>
          <w:color w:val="auto"/>
          <w:sz w:val="38"/>
          <w:szCs w:val="38"/>
          <w:highlight w:val="none"/>
        </w:rPr>
      </w:pPr>
      <w:bookmarkStart w:id="0" w:name="_Toc155"/>
      <w:bookmarkStart w:id="1" w:name="_Toc31726"/>
      <w:r>
        <w:rPr>
          <w:rFonts w:ascii="黑体" w:hAnsi="黑体" w:eastAsia="黑体" w:cs="Times New Roman"/>
          <w:color w:val="auto"/>
          <w:sz w:val="38"/>
          <w:szCs w:val="38"/>
          <w:highlight w:val="none"/>
        </w:rPr>
        <w:t>《</w:t>
      </w:r>
      <w:r>
        <w:rPr>
          <w:rFonts w:hint="eastAsia" w:ascii="黑体" w:hAnsi="黑体" w:eastAsia="黑体" w:cs="Times New Roman"/>
          <w:color w:val="auto"/>
          <w:sz w:val="38"/>
          <w:szCs w:val="38"/>
          <w:highlight w:val="none"/>
        </w:rPr>
        <w:t>智能汽车基础地图数据分类分级规则</w:t>
      </w:r>
      <w:r>
        <w:rPr>
          <w:rFonts w:ascii="黑体" w:hAnsi="黑体" w:eastAsia="黑体" w:cs="Times New Roman"/>
          <w:color w:val="auto"/>
          <w:sz w:val="38"/>
          <w:szCs w:val="38"/>
          <w:highlight w:val="none"/>
        </w:rPr>
        <w:t>》</w:t>
      </w:r>
      <w:bookmarkEnd w:id="0"/>
      <w:bookmarkEnd w:id="1"/>
    </w:p>
    <w:p w14:paraId="68818C43">
      <w:pPr>
        <w:pStyle w:val="2"/>
        <w:keepNext w:val="0"/>
        <w:keepLines w:val="0"/>
        <w:spacing w:before="0" w:after="240" w:line="240" w:lineRule="auto"/>
        <w:jc w:val="center"/>
        <w:rPr>
          <w:rFonts w:ascii="黑体" w:hAnsi="黑体" w:eastAsia="黑体" w:cs="Times New Roman"/>
          <w:color w:val="auto"/>
          <w:highlight w:val="none"/>
        </w:rPr>
      </w:pPr>
      <w:bookmarkStart w:id="2" w:name="_Toc30095"/>
      <w:bookmarkStart w:id="3" w:name="_Toc7421"/>
      <w:r>
        <w:rPr>
          <w:rFonts w:ascii="黑体" w:hAnsi="黑体" w:eastAsia="黑体" w:cs="Times New Roman"/>
          <w:color w:val="auto"/>
          <w:highlight w:val="none"/>
        </w:rPr>
        <w:t>编制说明</w:t>
      </w:r>
      <w:bookmarkEnd w:id="2"/>
      <w:bookmarkEnd w:id="3"/>
    </w:p>
    <w:p w14:paraId="4CEECB0B">
      <w:pPr>
        <w:rPr>
          <w:rFonts w:ascii="Times New Roman" w:hAnsi="Times New Roman" w:cs="Times New Roman"/>
          <w:color w:val="auto"/>
          <w:highlight w:val="none"/>
        </w:rPr>
      </w:pPr>
    </w:p>
    <w:p w14:paraId="7FF043A0">
      <w:pPr>
        <w:rPr>
          <w:rFonts w:ascii="Times New Roman" w:hAnsi="Times New Roman" w:cs="Times New Roman"/>
          <w:color w:val="auto"/>
          <w:highlight w:val="none"/>
        </w:rPr>
      </w:pPr>
    </w:p>
    <w:p w14:paraId="3F5F6123">
      <w:pPr>
        <w:rPr>
          <w:rFonts w:ascii="Times New Roman" w:hAnsi="Times New Roman" w:cs="Times New Roman"/>
          <w:color w:val="auto"/>
          <w:highlight w:val="none"/>
        </w:rPr>
      </w:pPr>
    </w:p>
    <w:p w14:paraId="491E5A0D">
      <w:pPr>
        <w:spacing w:after="240" w:afterLines="100" w:line="480" w:lineRule="auto"/>
        <w:ind w:left="3079" w:leftChars="266" w:hanging="2520" w:hangingChars="900"/>
        <w:rPr>
          <w:rFonts w:ascii="Times New Roman" w:hAnsi="Times New Roman" w:eastAsia="仿宋" w:cs="Times New Roman"/>
          <w:color w:val="auto"/>
          <w:sz w:val="28"/>
          <w:szCs w:val="28"/>
          <w:highlight w:val="none"/>
          <w:u w:val="single"/>
        </w:rPr>
      </w:pPr>
      <w:r>
        <w:rPr>
          <w:rFonts w:hint="eastAsia" w:ascii="Times New Roman" w:hAnsi="Times New Roman" w:eastAsia="仿宋" w:cs="Times New Roman"/>
          <w:color w:val="auto"/>
          <w:sz w:val="28"/>
          <w:szCs w:val="28"/>
          <w:highlight w:val="none"/>
        </w:rPr>
        <w:t>行业</w:t>
      </w:r>
      <w:r>
        <w:rPr>
          <w:rFonts w:ascii="Times New Roman" w:hAnsi="Times New Roman" w:eastAsia="仿宋" w:cs="Times New Roman"/>
          <w:color w:val="auto"/>
          <w:sz w:val="28"/>
          <w:szCs w:val="28"/>
          <w:highlight w:val="none"/>
        </w:rPr>
        <w:t>标准项目名称：</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rPr>
        <w:t xml:space="preserve"> 智能汽车基础地图数据分类分级规则</w:t>
      </w:r>
    </w:p>
    <w:p w14:paraId="2C717280">
      <w:pPr>
        <w:spacing w:after="240" w:afterLines="100" w:line="480" w:lineRule="auto"/>
        <w:ind w:firstLine="565" w:firstLineChars="202"/>
        <w:rPr>
          <w:rFonts w:ascii="Times New Roman" w:hAnsi="Times New Roman" w:eastAsia="仿宋" w:cs="Times New Roman"/>
          <w:color w:val="auto"/>
          <w:sz w:val="28"/>
          <w:szCs w:val="28"/>
          <w:highlight w:val="none"/>
        </w:rPr>
      </w:pPr>
      <w:r>
        <w:rPr>
          <w:rFonts w:hint="eastAsia" w:ascii="Times New Roman" w:hAnsi="Times New Roman" w:eastAsia="仿宋" w:cs="Times New Roman"/>
          <w:color w:val="auto"/>
          <w:sz w:val="28"/>
          <w:szCs w:val="28"/>
          <w:highlight w:val="none"/>
        </w:rPr>
        <w:t>行业</w:t>
      </w:r>
      <w:r>
        <w:rPr>
          <w:rFonts w:ascii="Times New Roman" w:hAnsi="Times New Roman" w:eastAsia="仿宋" w:cs="Times New Roman"/>
          <w:color w:val="auto"/>
          <w:sz w:val="28"/>
          <w:szCs w:val="28"/>
          <w:highlight w:val="none"/>
        </w:rPr>
        <w:t>标准项目编号：</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cs="Times New Roman"/>
          <w:color w:val="auto"/>
          <w:sz w:val="28"/>
          <w:szCs w:val="28"/>
          <w:highlight w:val="none"/>
          <w:u w:val="single"/>
        </w:rPr>
        <w:t xml:space="preserve"> 202432003        </w:t>
      </w:r>
      <w:r>
        <w:rPr>
          <w:rFonts w:hint="eastAsia" w:ascii="Times New Roman" w:hAnsi="Times New Roman" w:eastAsia="宋体" w:cs="Times New Roman"/>
          <w:color w:val="auto"/>
          <w:sz w:val="28"/>
          <w:szCs w:val="28"/>
          <w:highlight w:val="none"/>
          <w:u w:val="single"/>
        </w:rPr>
        <w:t xml:space="preserve">                          </w:t>
      </w:r>
      <w:r>
        <w:rPr>
          <w:rFonts w:hint="eastAsia" w:ascii="Times New Roman" w:hAnsi="Times New Roman" w:cs="Times New Roman"/>
          <w:color w:val="auto"/>
          <w:sz w:val="28"/>
          <w:szCs w:val="28"/>
          <w:highlight w:val="none"/>
          <w:u w:val="single"/>
        </w:rPr>
        <w:t xml:space="preserve"> </w:t>
      </w:r>
      <w:r>
        <w:rPr>
          <w:rFonts w:ascii="Times New Roman" w:hAnsi="Times New Roman" w:eastAsia="仿宋" w:cs="Times New Roman"/>
          <w:color w:val="auto"/>
          <w:sz w:val="28"/>
          <w:szCs w:val="28"/>
          <w:highlight w:val="none"/>
          <w:u w:val="single"/>
        </w:rPr>
        <w:t xml:space="preserve">          </w:t>
      </w:r>
    </w:p>
    <w:p w14:paraId="174260CF">
      <w:pPr>
        <w:spacing w:after="240" w:afterLines="100" w:line="480" w:lineRule="auto"/>
        <w:ind w:left="3079" w:leftChars="266" w:hanging="2520" w:hangingChars="900"/>
        <w:rPr>
          <w:rFonts w:ascii="Times New Roman" w:hAnsi="Times New Roman" w:eastAsia="仿宋" w:cs="Times New Roman"/>
          <w:color w:val="auto"/>
          <w:sz w:val="28"/>
          <w:szCs w:val="28"/>
          <w:highlight w:val="none"/>
          <w:u w:val="single"/>
        </w:rPr>
      </w:pPr>
      <w:r>
        <w:rPr>
          <w:rFonts w:ascii="Times New Roman" w:hAnsi="Times New Roman" w:eastAsia="仿宋" w:cs="Times New Roman"/>
          <w:color w:val="auto"/>
          <w:sz w:val="28"/>
          <w:szCs w:val="28"/>
          <w:highlight w:val="none"/>
        </w:rPr>
        <w:t>送审</w:t>
      </w:r>
      <w:r>
        <w:rPr>
          <w:rFonts w:hint="eastAsia" w:ascii="Times New Roman" w:hAnsi="Times New Roman" w:eastAsia="仿宋" w:cs="Times New Roman"/>
          <w:color w:val="auto"/>
          <w:sz w:val="28"/>
          <w:szCs w:val="28"/>
          <w:highlight w:val="none"/>
        </w:rPr>
        <w:t>行业</w:t>
      </w:r>
      <w:r>
        <w:rPr>
          <w:rFonts w:ascii="Times New Roman" w:hAnsi="Times New Roman" w:eastAsia="仿宋" w:cs="Times New Roman"/>
          <w:color w:val="auto"/>
          <w:sz w:val="28"/>
          <w:szCs w:val="28"/>
          <w:highlight w:val="none"/>
        </w:rPr>
        <w:t>标准名称：</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rPr>
        <w:t xml:space="preserve">                                                                </w:t>
      </w:r>
    </w:p>
    <w:p w14:paraId="6888A38A">
      <w:pPr>
        <w:spacing w:line="480" w:lineRule="auto"/>
        <w:ind w:firstLine="565" w:firstLineChars="202"/>
        <w:rPr>
          <w:rFonts w:ascii="Times New Roman" w:hAnsi="Times New Roman" w:eastAsia="仿宋" w:cs="Times New Roman"/>
          <w:color w:val="auto"/>
          <w:sz w:val="28"/>
          <w:szCs w:val="28"/>
          <w:highlight w:val="none"/>
          <w:u w:val="single"/>
        </w:rPr>
      </w:pPr>
      <w:r>
        <w:rPr>
          <w:rFonts w:ascii="Times New Roman" w:hAnsi="Times New Roman" w:eastAsia="仿宋" w:cs="Times New Roman"/>
          <w:color w:val="auto"/>
          <w:sz w:val="28"/>
          <w:szCs w:val="28"/>
          <w:highlight w:val="none"/>
        </w:rPr>
        <w:t>（此栏送审时填写）</w:t>
      </w:r>
      <w:r>
        <w:rPr>
          <w:rFonts w:hint="eastAsia" w:ascii="Times New Roman" w:hAnsi="Times New Roman" w:eastAsia="仿宋" w:cs="Times New Roman"/>
          <w:color w:val="auto"/>
          <w:sz w:val="28"/>
          <w:szCs w:val="28"/>
          <w:highlight w:val="none"/>
        </w:rPr>
        <w:t xml:space="preserve"> </w:t>
      </w:r>
      <w:r>
        <w:rPr>
          <w:rFonts w:hint="eastAsia" w:ascii="Times New Roman" w:hAnsi="Times New Roman" w:eastAsia="仿宋" w:cs="Times New Roman"/>
          <w:color w:val="auto"/>
          <w:sz w:val="28"/>
          <w:szCs w:val="28"/>
          <w:highlight w:val="none"/>
          <w:u w:val="single"/>
        </w:rPr>
        <w:t xml:space="preserve">                                                                 </w:t>
      </w:r>
    </w:p>
    <w:p w14:paraId="5CF6C3C4">
      <w:pPr>
        <w:pStyle w:val="5"/>
        <w:rPr>
          <w:color w:val="auto"/>
          <w:highlight w:val="none"/>
        </w:rPr>
      </w:pPr>
    </w:p>
    <w:p w14:paraId="01C11FDB">
      <w:pPr>
        <w:spacing w:line="480" w:lineRule="auto"/>
        <w:ind w:firstLine="565" w:firstLineChars="202"/>
        <w:rPr>
          <w:rFonts w:ascii="Times New Roman" w:hAnsi="Times New Roman" w:eastAsia="仿宋" w:cs="Times New Roman"/>
          <w:color w:val="auto"/>
          <w:sz w:val="28"/>
          <w:szCs w:val="28"/>
          <w:highlight w:val="none"/>
          <w:u w:val="single"/>
        </w:rPr>
      </w:pPr>
      <w:r>
        <w:rPr>
          <w:rFonts w:ascii="Times New Roman" w:hAnsi="Times New Roman" w:eastAsia="仿宋" w:cs="Times New Roman"/>
          <w:color w:val="auto"/>
          <w:sz w:val="28"/>
          <w:szCs w:val="28"/>
          <w:highlight w:val="none"/>
        </w:rPr>
        <w:t>报批</w:t>
      </w:r>
      <w:r>
        <w:rPr>
          <w:rFonts w:hint="eastAsia" w:ascii="Times New Roman" w:hAnsi="Times New Roman" w:eastAsia="仿宋" w:cs="Times New Roman"/>
          <w:color w:val="auto"/>
          <w:sz w:val="28"/>
          <w:szCs w:val="28"/>
          <w:highlight w:val="none"/>
        </w:rPr>
        <w:t>行业</w:t>
      </w:r>
      <w:r>
        <w:rPr>
          <w:rFonts w:ascii="Times New Roman" w:hAnsi="Times New Roman" w:eastAsia="仿宋" w:cs="Times New Roman"/>
          <w:color w:val="auto"/>
          <w:sz w:val="28"/>
          <w:szCs w:val="28"/>
          <w:highlight w:val="none"/>
        </w:rPr>
        <w:t>标准名称：</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rPr>
        <w:t xml:space="preserve">                                                               </w:t>
      </w:r>
    </w:p>
    <w:p w14:paraId="68EFCC61">
      <w:pPr>
        <w:spacing w:after="240" w:afterLines="100" w:line="480" w:lineRule="auto"/>
        <w:ind w:firstLine="565" w:firstLineChars="202"/>
        <w:rPr>
          <w:rFonts w:ascii="Times New Roman" w:hAnsi="Times New Roman" w:eastAsia="仿宋" w:cs="Times New Roman"/>
          <w:color w:val="auto"/>
          <w:sz w:val="28"/>
          <w:szCs w:val="28"/>
          <w:highlight w:val="none"/>
        </w:rPr>
      </w:pPr>
      <w:r>
        <w:rPr>
          <w:rFonts w:ascii="Times New Roman" w:hAnsi="Times New Roman" w:eastAsia="仿宋" w:cs="Times New Roman"/>
          <w:color w:val="auto"/>
          <w:sz w:val="28"/>
          <w:szCs w:val="28"/>
          <w:highlight w:val="none"/>
        </w:rPr>
        <w:t>（此栏报批时填写）</w:t>
      </w:r>
    </w:p>
    <w:p w14:paraId="52808B71">
      <w:pPr>
        <w:spacing w:after="240" w:afterLines="100" w:line="480" w:lineRule="auto"/>
        <w:ind w:firstLine="565" w:firstLineChars="202"/>
        <w:rPr>
          <w:rFonts w:ascii="Times New Roman" w:hAnsi="Times New Roman" w:eastAsia="仿宋" w:cs="Times New Roman"/>
          <w:color w:val="auto"/>
          <w:sz w:val="28"/>
          <w:szCs w:val="28"/>
          <w:highlight w:val="none"/>
        </w:rPr>
      </w:pPr>
      <w:r>
        <w:rPr>
          <w:rFonts w:ascii="Times New Roman" w:hAnsi="Times New Roman" w:eastAsia="仿宋" w:cs="Times New Roman"/>
          <w:color w:val="auto"/>
          <w:sz w:val="28"/>
          <w:szCs w:val="28"/>
          <w:highlight w:val="none"/>
        </w:rPr>
        <w:t>承担单位：</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rPr>
        <w:t xml:space="preserve"> 中国测绘科学研究院                               </w:t>
      </w:r>
      <w:r>
        <w:rPr>
          <w:rFonts w:ascii="Times New Roman" w:hAnsi="Times New Roman" w:eastAsia="仿宋" w:cs="Times New Roman"/>
          <w:color w:val="auto"/>
          <w:sz w:val="28"/>
          <w:szCs w:val="28"/>
          <w:highlight w:val="none"/>
          <w:u w:val="single"/>
        </w:rPr>
        <w:t xml:space="preserve">            </w:t>
      </w:r>
    </w:p>
    <w:p w14:paraId="2872559A">
      <w:pPr>
        <w:spacing w:line="480" w:lineRule="auto"/>
        <w:ind w:firstLine="565" w:firstLineChars="202"/>
        <w:rPr>
          <w:rFonts w:ascii="Times New Roman" w:hAnsi="Times New Roman" w:eastAsia="仿宋" w:cs="Times New Roman"/>
          <w:color w:val="auto"/>
          <w:sz w:val="28"/>
          <w:szCs w:val="28"/>
          <w:highlight w:val="none"/>
        </w:rPr>
      </w:pPr>
      <w:r>
        <w:rPr>
          <w:rFonts w:ascii="Times New Roman" w:hAnsi="Times New Roman" w:eastAsia="仿宋" w:cs="Times New Roman"/>
          <w:color w:val="auto"/>
          <w:sz w:val="28"/>
          <w:szCs w:val="28"/>
          <w:highlight w:val="none"/>
        </w:rPr>
        <w:t>当前阶段：</w:t>
      </w:r>
      <w:r>
        <w:rPr>
          <w:rFonts w:ascii="Times New Roman" w:hAnsi="Times New Roman" w:eastAsia="仿宋" w:cs="Times New Roman"/>
          <w:color w:val="auto"/>
          <w:sz w:val="28"/>
          <w:szCs w:val="28"/>
          <w:highlight w:val="none"/>
          <w:u w:val="single"/>
        </w:rPr>
        <w:t xml:space="preserve"> </w:t>
      </w:r>
      <w:r>
        <w:rPr>
          <w:rFonts w:ascii="仿宋" w:hAnsi="仿宋" w:eastAsia="仿宋" w:cs="Times New Roman"/>
          <w:color w:val="auto"/>
          <w:sz w:val="28"/>
          <w:szCs w:val="28"/>
          <w:highlight w:val="none"/>
          <w:u w:val="single"/>
        </w:rPr>
        <w:sym w:font="Wingdings 2" w:char="0052"/>
      </w:r>
      <w:r>
        <w:rPr>
          <w:rFonts w:ascii="仿宋" w:hAnsi="仿宋" w:eastAsia="仿宋" w:cs="Times New Roman"/>
          <w:color w:val="auto"/>
          <w:sz w:val="28"/>
          <w:szCs w:val="28"/>
          <w:highlight w:val="none"/>
          <w:u w:val="single"/>
        </w:rPr>
        <w:t xml:space="preserve">征求意见      </w:t>
      </w:r>
      <w:r>
        <w:rPr>
          <w:rFonts w:hint="eastAsia" w:ascii="仿宋" w:hAnsi="仿宋" w:eastAsia="仿宋" w:cs="Times New Roman"/>
          <w:color w:val="auto"/>
          <w:sz w:val="28"/>
          <w:szCs w:val="28"/>
          <w:highlight w:val="none"/>
          <w:u w:val="single"/>
        </w:rPr>
        <w:t>□</w:t>
      </w:r>
      <w:r>
        <w:rPr>
          <w:rFonts w:ascii="仿宋" w:hAnsi="仿宋" w:eastAsia="仿宋" w:cs="Times New Roman"/>
          <w:color w:val="auto"/>
          <w:sz w:val="28"/>
          <w:szCs w:val="28"/>
          <w:highlight w:val="none"/>
          <w:u w:val="single"/>
        </w:rPr>
        <w:t>送审稿审查    □</w:t>
      </w:r>
      <w:r>
        <w:rPr>
          <w:rFonts w:ascii="Times New Roman" w:hAnsi="Times New Roman" w:eastAsia="仿宋" w:cs="Times New Roman"/>
          <w:color w:val="auto"/>
          <w:sz w:val="28"/>
          <w:szCs w:val="28"/>
          <w:highlight w:val="none"/>
          <w:u w:val="single"/>
        </w:rPr>
        <w:t>报批稿报批</w:t>
      </w:r>
    </w:p>
    <w:p w14:paraId="454ACFD5">
      <w:pPr>
        <w:spacing w:line="480" w:lineRule="auto"/>
        <w:jc w:val="center"/>
        <w:rPr>
          <w:rFonts w:ascii="Times New Roman" w:hAnsi="Times New Roman" w:eastAsia="仿宋" w:cs="Times New Roman"/>
          <w:color w:val="auto"/>
          <w:sz w:val="28"/>
          <w:szCs w:val="28"/>
          <w:highlight w:val="none"/>
        </w:rPr>
      </w:pPr>
    </w:p>
    <w:p w14:paraId="621404E1">
      <w:pPr>
        <w:ind w:left="-2" w:leftChars="-1" w:firstLine="2268" w:firstLineChars="810"/>
        <w:rPr>
          <w:rFonts w:ascii="Times New Roman" w:hAnsi="Times New Roman" w:eastAsia="仿宋" w:cs="Times New Roman"/>
          <w:color w:val="auto"/>
          <w:sz w:val="28"/>
          <w:szCs w:val="28"/>
          <w:highlight w:val="none"/>
          <w:u w:val="single"/>
        </w:rPr>
      </w:pPr>
      <w:r>
        <w:rPr>
          <w:rFonts w:ascii="Times New Roman" w:hAnsi="Times New Roman" w:eastAsia="仿宋" w:cs="Times New Roman"/>
          <w:color w:val="auto"/>
          <w:sz w:val="28"/>
          <w:szCs w:val="28"/>
          <w:highlight w:val="none"/>
        </w:rPr>
        <w:t xml:space="preserve">编制时间： </w:t>
      </w:r>
      <w:r>
        <w:rPr>
          <w:rFonts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rPr>
        <w:t>202</w:t>
      </w:r>
      <w:r>
        <w:rPr>
          <w:rFonts w:hint="eastAsia" w:ascii="Times New Roman" w:hAnsi="Times New Roman" w:eastAsia="仿宋" w:cs="Times New Roman"/>
          <w:color w:val="auto"/>
          <w:sz w:val="28"/>
          <w:szCs w:val="28"/>
          <w:highlight w:val="none"/>
          <w:u w:val="single"/>
          <w:lang w:val="en-US" w:eastAsia="zh-CN"/>
        </w:rPr>
        <w:t>5</w:t>
      </w:r>
      <w:r>
        <w:rPr>
          <w:rFonts w:ascii="Times New Roman" w:hAnsi="Times New Roman" w:eastAsia="仿宋" w:cs="Times New Roman"/>
          <w:color w:val="auto"/>
          <w:sz w:val="28"/>
          <w:szCs w:val="28"/>
          <w:highlight w:val="none"/>
          <w:u w:val="single"/>
        </w:rPr>
        <w:t xml:space="preserve"> 年</w:t>
      </w:r>
      <w:r>
        <w:rPr>
          <w:rFonts w:hint="eastAsia" w:ascii="Times New Roman" w:hAnsi="Times New Roman" w:eastAsia="仿宋" w:cs="Times New Roman"/>
          <w:color w:val="auto"/>
          <w:sz w:val="28"/>
          <w:szCs w:val="28"/>
          <w:highlight w:val="none"/>
          <w:u w:val="single"/>
        </w:rPr>
        <w:t xml:space="preserve"> </w:t>
      </w:r>
      <w:r>
        <w:rPr>
          <w:rFonts w:hint="eastAsia" w:ascii="Times New Roman" w:hAnsi="Times New Roman" w:eastAsia="仿宋" w:cs="Times New Roman"/>
          <w:color w:val="auto"/>
          <w:sz w:val="28"/>
          <w:szCs w:val="28"/>
          <w:highlight w:val="none"/>
          <w:u w:val="single"/>
          <w:lang w:val="en-US" w:eastAsia="zh-CN"/>
        </w:rPr>
        <w:t>6</w:t>
      </w:r>
      <w:r>
        <w:rPr>
          <w:rFonts w:ascii="Times New Roman" w:hAnsi="Times New Roman" w:eastAsia="仿宋" w:cs="Times New Roman"/>
          <w:color w:val="auto"/>
          <w:sz w:val="28"/>
          <w:szCs w:val="28"/>
          <w:highlight w:val="none"/>
          <w:u w:val="single"/>
        </w:rPr>
        <w:t xml:space="preserve">月   </w:t>
      </w:r>
      <w:r>
        <w:rPr>
          <w:rFonts w:hint="eastAsia" w:ascii="Times New Roman" w:hAnsi="Times New Roman" w:eastAsia="仿宋" w:cs="Times New Roman"/>
          <w:color w:val="auto"/>
          <w:sz w:val="28"/>
          <w:szCs w:val="28"/>
          <w:highlight w:val="none"/>
          <w:u w:val="single"/>
        </w:rPr>
        <w:t xml:space="preserve">  </w:t>
      </w:r>
      <w:r>
        <w:rPr>
          <w:rFonts w:ascii="Times New Roman" w:hAnsi="Times New Roman" w:eastAsia="仿宋" w:cs="Times New Roman"/>
          <w:color w:val="auto"/>
          <w:sz w:val="28"/>
          <w:szCs w:val="28"/>
          <w:highlight w:val="none"/>
          <w:u w:val="single"/>
        </w:rPr>
        <w:t xml:space="preserve">    </w:t>
      </w:r>
    </w:p>
    <w:p w14:paraId="374EA8DB">
      <w:pPr>
        <w:rPr>
          <w:color w:val="auto"/>
          <w:highlight w:val="none"/>
        </w:rPr>
        <w:sectPr>
          <w:pgSz w:w="11907" w:h="16839"/>
          <w:pgMar w:top="1440" w:right="1800" w:bottom="1440" w:left="1800" w:header="0" w:footer="2620" w:gutter="0"/>
          <w:pgNumType w:start="1"/>
          <w:cols w:space="720" w:num="1"/>
        </w:sectPr>
      </w:pPr>
    </w:p>
    <w:sdt>
      <w:sdtPr>
        <w:rPr>
          <w:rFonts w:ascii="宋体" w:hAnsi="宋体" w:eastAsia="宋体"/>
          <w:color w:val="auto"/>
          <w:highlight w:val="none"/>
        </w:rPr>
        <w:id w:val="147482289"/>
        <w15:color w:val="DBDBDB"/>
        <w:docPartObj>
          <w:docPartGallery w:val="Table of Contents"/>
          <w:docPartUnique/>
        </w:docPartObj>
      </w:sdtPr>
      <w:sdtEndPr>
        <w:rPr>
          <w:rFonts w:ascii="Times New Roman" w:hAnsi="Times New Roman" w:eastAsia="黑体" w:cs="Times New Roman"/>
          <w:color w:val="auto"/>
          <w:szCs w:val="44"/>
          <w:highlight w:val="none"/>
        </w:rPr>
      </w:sdtEndPr>
      <w:sdtContent>
        <w:p w14:paraId="2C07B05E">
          <w:pPr>
            <w:jc w:val="center"/>
            <w:rPr>
              <w:rFonts w:ascii="黑体" w:hAnsi="黑体" w:eastAsia="黑体" w:cs="黑体"/>
              <w:color w:val="auto"/>
              <w:sz w:val="36"/>
              <w:szCs w:val="36"/>
              <w:highlight w:val="none"/>
            </w:rPr>
          </w:pPr>
          <w:r>
            <w:rPr>
              <w:rFonts w:hint="eastAsia" w:ascii="黑体" w:hAnsi="黑体" w:eastAsia="黑体" w:cs="黑体"/>
              <w:color w:val="auto"/>
              <w:sz w:val="36"/>
              <w:szCs w:val="36"/>
              <w:highlight w:val="none"/>
            </w:rPr>
            <w:t>目  次</w:t>
          </w:r>
        </w:p>
        <w:p w14:paraId="3E05C6F6">
          <w:pPr>
            <w:pStyle w:val="5"/>
            <w:rPr>
              <w:color w:val="auto"/>
              <w:highlight w:val="none"/>
            </w:rPr>
          </w:pPr>
        </w:p>
        <w:p w14:paraId="7EAEA9C6">
          <w:pPr>
            <w:pStyle w:val="11"/>
            <w:tabs>
              <w:tab w:val="right" w:leader="dot" w:pos="8307"/>
            </w:tabs>
            <w:spacing w:line="360" w:lineRule="auto"/>
            <w:rPr>
              <w:rFonts w:ascii="宋体" w:hAnsi="宋体" w:eastAsia="宋体" w:cs="宋体"/>
              <w:color w:val="auto"/>
              <w:sz w:val="24"/>
              <w:szCs w:val="24"/>
              <w:highlight w:val="none"/>
            </w:rPr>
          </w:pPr>
          <w:r>
            <w:rPr>
              <w:rFonts w:hint="eastAsia" w:ascii="宋体" w:hAnsi="宋体" w:eastAsia="宋体" w:cs="宋体"/>
              <w:snapToGrid/>
              <w:color w:val="auto"/>
              <w:sz w:val="24"/>
              <w:szCs w:val="24"/>
              <w:highlight w:val="none"/>
            </w:rPr>
            <w:fldChar w:fldCharType="begin"/>
          </w:r>
          <w:r>
            <w:rPr>
              <w:rFonts w:hint="eastAsia" w:ascii="宋体" w:hAnsi="宋体" w:eastAsia="宋体" w:cs="宋体"/>
              <w:color w:val="auto"/>
              <w:sz w:val="24"/>
              <w:szCs w:val="24"/>
              <w:highlight w:val="none"/>
            </w:rPr>
            <w:instrText xml:space="preserve">TOC \o "1-2" \h \u </w:instrText>
          </w:r>
          <w:r>
            <w:rPr>
              <w:rFonts w:hint="eastAsia" w:ascii="宋体" w:hAnsi="宋体" w:eastAsia="宋体" w:cs="宋体"/>
              <w:snapToGrid/>
              <w:color w:val="auto"/>
              <w:sz w:val="24"/>
              <w:szCs w:val="24"/>
              <w:highlight w:val="none"/>
            </w:rPr>
            <w:fldChar w:fldCharType="separate"/>
          </w:r>
          <w:r>
            <w:rPr>
              <w:color w:val="auto"/>
              <w:highlight w:val="none"/>
            </w:rPr>
            <w:fldChar w:fldCharType="begin"/>
          </w:r>
          <w:r>
            <w:rPr>
              <w:color w:val="auto"/>
              <w:highlight w:val="none"/>
            </w:rPr>
            <w:instrText xml:space="preserve"> HYPERLINK \l "_Toc19748" </w:instrText>
          </w:r>
          <w:r>
            <w:rPr>
              <w:color w:val="auto"/>
              <w:highlight w:val="none"/>
            </w:rPr>
            <w:fldChar w:fldCharType="separate"/>
          </w:r>
          <w:r>
            <w:rPr>
              <w:rFonts w:hint="eastAsia" w:ascii="宋体" w:hAnsi="宋体" w:eastAsia="宋体" w:cs="宋体"/>
              <w:b/>
              <w:bCs/>
              <w:color w:val="auto"/>
              <w:sz w:val="24"/>
              <w:szCs w:val="24"/>
              <w:highlight w:val="none"/>
            </w:rPr>
            <w:t>一、 工作简况</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_Toc19748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0DB40C0A">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"_Toc4349" </w:instrText>
          </w:r>
          <w:r>
            <w:rPr>
              <w:color w:val="auto"/>
              <w:highlight w:val="none"/>
            </w:rPr>
            <w:fldChar w:fldCharType="separate"/>
          </w:r>
          <w:r>
            <w:rPr>
              <w:rFonts w:hint="eastAsia" w:ascii="宋体" w:hAnsi="宋体" w:eastAsia="宋体" w:cs="宋体"/>
              <w:bCs/>
              <w:color w:val="auto"/>
              <w:sz w:val="24"/>
              <w:szCs w:val="24"/>
              <w:highlight w:val="none"/>
            </w:rPr>
            <w:t>1. 任务来源</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_Toc4349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4F3E9FE4">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"_Toc23544" </w:instrText>
          </w:r>
          <w:r>
            <w:rPr>
              <w:color w:val="auto"/>
              <w:highlight w:val="none"/>
            </w:rPr>
            <w:fldChar w:fldCharType="separate"/>
          </w:r>
          <w:r>
            <w:rPr>
              <w:rFonts w:hint="eastAsia" w:ascii="宋体" w:hAnsi="宋体" w:eastAsia="宋体" w:cs="宋体"/>
              <w:bCs/>
              <w:color w:val="auto"/>
              <w:sz w:val="24"/>
              <w:szCs w:val="24"/>
              <w:highlight w:val="none"/>
            </w:rPr>
            <w:t>2. 目的意义</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_Toc23544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3088D9E0">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"_Toc15652" </w:instrText>
          </w:r>
          <w:r>
            <w:rPr>
              <w:color w:val="auto"/>
              <w:highlight w:val="none"/>
            </w:rPr>
            <w:fldChar w:fldCharType="separate"/>
          </w:r>
          <w:r>
            <w:rPr>
              <w:rFonts w:hint="eastAsia" w:ascii="宋体" w:hAnsi="宋体" w:eastAsia="宋体" w:cs="宋体"/>
              <w:bCs/>
              <w:color w:val="auto"/>
              <w:sz w:val="24"/>
              <w:szCs w:val="24"/>
              <w:highlight w:val="none"/>
            </w:rPr>
            <w:t>3. 起草单位</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_Toc15652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1</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0D1B3D5F">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"_Toc563" </w:instrText>
          </w:r>
          <w:r>
            <w:rPr>
              <w:color w:val="auto"/>
              <w:highlight w:val="none"/>
            </w:rPr>
            <w:fldChar w:fldCharType="separate"/>
          </w:r>
          <w:r>
            <w:rPr>
              <w:rFonts w:hint="eastAsia" w:ascii="宋体" w:hAnsi="宋体" w:eastAsia="宋体" w:cs="宋体"/>
              <w:bCs/>
              <w:color w:val="auto"/>
              <w:sz w:val="24"/>
              <w:szCs w:val="24"/>
              <w:highlight w:val="none"/>
            </w:rPr>
            <w:t>4. 主要工作过程</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_Toc563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2</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90E1491">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"_Toc11389" </w:instrText>
          </w:r>
          <w:r>
            <w:rPr>
              <w:color w:val="auto"/>
              <w:highlight w:val="none"/>
            </w:rPr>
            <w:fldChar w:fldCharType="separate"/>
          </w:r>
          <w:r>
            <w:rPr>
              <w:rFonts w:hint="eastAsia" w:ascii="宋体" w:hAnsi="宋体" w:eastAsia="宋体" w:cs="宋体"/>
              <w:b/>
              <w:bCs/>
              <w:color w:val="auto"/>
              <w:sz w:val="24"/>
              <w:szCs w:val="24"/>
              <w:highlight w:val="none"/>
            </w:rPr>
            <w:t>二、 标准编制原则和确定标准主要内容</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_Toc11389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5</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5C37DB36">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"_Toc26538" </w:instrText>
          </w:r>
          <w:r>
            <w:rPr>
              <w:color w:val="auto"/>
              <w:highlight w:val="none"/>
            </w:rPr>
            <w:fldChar w:fldCharType="separate"/>
          </w:r>
          <w:r>
            <w:rPr>
              <w:rFonts w:hint="eastAsia" w:ascii="宋体" w:hAnsi="宋体" w:eastAsia="宋体" w:cs="宋体"/>
              <w:bCs/>
              <w:color w:val="auto"/>
              <w:sz w:val="24"/>
              <w:szCs w:val="24"/>
              <w:highlight w:val="none"/>
            </w:rPr>
            <w:t>1. 编制原则</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_Toc26538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5</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65E18CF8">
          <w:pPr>
            <w:pStyle w:val="12"/>
            <w:tabs>
              <w:tab w:val="right" w:leader="dot" w:pos="8307"/>
            </w:tabs>
            <w:spacing w:line="360" w:lineRule="auto"/>
            <w:rPr>
              <w:rFonts w:ascii="宋体" w:hAnsi="宋体" w:eastAsia="宋体" w:cs="宋体"/>
              <w:color w:val="auto"/>
              <w:sz w:val="24"/>
              <w:szCs w:val="24"/>
              <w:highlight w:val="none"/>
            </w:rPr>
          </w:pPr>
          <w:r>
            <w:rPr>
              <w:color w:val="auto"/>
              <w:highlight w:val="none"/>
            </w:rPr>
            <w:fldChar w:fldCharType="begin"/>
          </w:r>
          <w:r>
            <w:rPr>
              <w:color w:val="auto"/>
              <w:highlight w:val="none"/>
            </w:rPr>
            <w:instrText xml:space="preserve"> HYPERLINK \l "_Toc21682" </w:instrText>
          </w:r>
          <w:r>
            <w:rPr>
              <w:color w:val="auto"/>
              <w:highlight w:val="none"/>
            </w:rPr>
            <w:fldChar w:fldCharType="separate"/>
          </w:r>
          <w:r>
            <w:rPr>
              <w:rFonts w:hint="eastAsia" w:ascii="宋体" w:hAnsi="宋体" w:eastAsia="宋体" w:cs="宋体"/>
              <w:bCs/>
              <w:color w:val="auto"/>
              <w:sz w:val="24"/>
              <w:szCs w:val="24"/>
              <w:highlight w:val="none"/>
            </w:rPr>
            <w:t>2. 主要内容</w:t>
          </w:r>
          <w:r>
            <w:rPr>
              <w:rFonts w:hint="eastAsia" w:ascii="宋体" w:hAnsi="宋体" w:eastAsia="宋体" w:cs="宋体"/>
              <w:color w:val="auto"/>
              <w:sz w:val="24"/>
              <w:szCs w:val="24"/>
              <w:highlight w:val="none"/>
            </w:rPr>
            <w:tab/>
          </w:r>
          <w:r>
            <w:rPr>
              <w:rFonts w:hint="eastAsia" w:ascii="宋体" w:hAnsi="宋体" w:eastAsia="宋体" w:cs="宋体"/>
              <w:color w:val="auto"/>
              <w:sz w:val="24"/>
              <w:szCs w:val="24"/>
              <w:highlight w:val="none"/>
            </w:rPr>
            <w:fldChar w:fldCharType="begin"/>
          </w:r>
          <w:r>
            <w:rPr>
              <w:rFonts w:hint="eastAsia" w:ascii="宋体" w:hAnsi="宋体" w:eastAsia="宋体" w:cs="宋体"/>
              <w:color w:val="auto"/>
              <w:sz w:val="24"/>
              <w:szCs w:val="24"/>
              <w:highlight w:val="none"/>
            </w:rPr>
            <w:instrText xml:space="preserve"> PAGEREF _Toc21682 \h </w:instrText>
          </w:r>
          <w:r>
            <w:rPr>
              <w:rFonts w:hint="eastAsia" w:ascii="宋体" w:hAnsi="宋体" w:eastAsia="宋体" w:cs="宋体"/>
              <w:color w:val="auto"/>
              <w:sz w:val="24"/>
              <w:szCs w:val="24"/>
              <w:highlight w:val="none"/>
            </w:rPr>
            <w:fldChar w:fldCharType="separate"/>
          </w:r>
          <w:r>
            <w:rPr>
              <w:rFonts w:hint="eastAsia" w:ascii="宋体" w:hAnsi="宋体" w:eastAsia="宋体" w:cs="宋体"/>
              <w:color w:val="auto"/>
              <w:sz w:val="24"/>
              <w:szCs w:val="24"/>
              <w:highlight w:val="none"/>
            </w:rPr>
            <w:t>6</w:t>
          </w:r>
          <w:r>
            <w:rPr>
              <w:rFonts w:hint="eastAsia" w:ascii="宋体" w:hAnsi="宋体" w:eastAsia="宋体" w:cs="宋体"/>
              <w:color w:val="auto"/>
              <w:sz w:val="24"/>
              <w:szCs w:val="24"/>
              <w:highlight w:val="none"/>
            </w:rPr>
            <w:fldChar w:fldCharType="end"/>
          </w:r>
          <w:r>
            <w:rPr>
              <w:rFonts w:hint="eastAsia" w:ascii="宋体" w:hAnsi="宋体" w:eastAsia="宋体" w:cs="宋体"/>
              <w:color w:val="auto"/>
              <w:sz w:val="24"/>
              <w:szCs w:val="24"/>
              <w:highlight w:val="none"/>
            </w:rPr>
            <w:fldChar w:fldCharType="end"/>
          </w:r>
        </w:p>
        <w:p w14:paraId="18E9E495">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"_Toc3040" </w:instrText>
          </w:r>
          <w:r>
            <w:rPr>
              <w:color w:val="auto"/>
              <w:highlight w:val="none"/>
            </w:rPr>
            <w:fldChar w:fldCharType="separate"/>
          </w:r>
          <w:r>
            <w:rPr>
              <w:rFonts w:hint="eastAsia" w:ascii="宋体" w:hAnsi="宋体" w:eastAsia="宋体" w:cs="宋体"/>
              <w:b/>
              <w:bCs/>
              <w:color w:val="auto"/>
              <w:sz w:val="24"/>
              <w:szCs w:val="24"/>
              <w:highlight w:val="none"/>
            </w:rPr>
            <w:t>三、 主要试验（或验证）分析、综述报告，技术经济论证，预期的经济效果</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_Toc3040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10</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5FF2DD7A">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"_Toc27543" </w:instrText>
          </w:r>
          <w:r>
            <w:rPr>
              <w:color w:val="auto"/>
              <w:highlight w:val="none"/>
            </w:rPr>
            <w:fldChar w:fldCharType="separate"/>
          </w:r>
          <w:r>
            <w:rPr>
              <w:rFonts w:hint="eastAsia" w:ascii="宋体" w:hAnsi="宋体" w:eastAsia="宋体" w:cs="宋体"/>
              <w:b/>
              <w:bCs/>
              <w:color w:val="auto"/>
              <w:sz w:val="24"/>
              <w:szCs w:val="24"/>
              <w:highlight w:val="none"/>
            </w:rPr>
            <w:t>四、 采用国际标准和国外先进标准的程度，以及与国际、国外同类标准水平的对比情况，或与测试的国外样品、样机的有关数据对比情况</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_Toc27543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10</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032777C0">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"_Toc15235" </w:instrText>
          </w:r>
          <w:r>
            <w:rPr>
              <w:color w:val="auto"/>
              <w:highlight w:val="none"/>
            </w:rPr>
            <w:fldChar w:fldCharType="separate"/>
          </w:r>
          <w:r>
            <w:rPr>
              <w:rFonts w:hint="eastAsia" w:ascii="宋体" w:hAnsi="宋体" w:eastAsia="宋体" w:cs="宋体"/>
              <w:b/>
              <w:bCs/>
              <w:color w:val="auto"/>
              <w:sz w:val="24"/>
              <w:szCs w:val="24"/>
              <w:highlight w:val="none"/>
            </w:rPr>
            <w:t>五、 与有关的现行法律、法规和强制性标准的关系</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_Toc15235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11</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1C29BFD8">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"_Toc5094" </w:instrText>
          </w:r>
          <w:r>
            <w:rPr>
              <w:color w:val="auto"/>
              <w:highlight w:val="none"/>
            </w:rPr>
            <w:fldChar w:fldCharType="separate"/>
          </w:r>
          <w:r>
            <w:rPr>
              <w:rFonts w:hint="eastAsia" w:ascii="宋体" w:hAnsi="宋体" w:eastAsia="宋体" w:cs="宋体"/>
              <w:b/>
              <w:bCs/>
              <w:color w:val="auto"/>
              <w:sz w:val="24"/>
              <w:szCs w:val="24"/>
              <w:highlight w:val="none"/>
            </w:rPr>
            <w:t>六、 重大分歧意见的处理经过和依据</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_Toc5094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12</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08B172B4">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"_Toc4985" </w:instrText>
          </w:r>
          <w:r>
            <w:rPr>
              <w:color w:val="auto"/>
              <w:highlight w:val="none"/>
            </w:rPr>
            <w:fldChar w:fldCharType="separate"/>
          </w:r>
          <w:r>
            <w:rPr>
              <w:rFonts w:hint="eastAsia" w:ascii="宋体" w:hAnsi="宋体" w:eastAsia="宋体" w:cs="宋体"/>
              <w:b/>
              <w:bCs/>
              <w:color w:val="auto"/>
              <w:sz w:val="24"/>
              <w:szCs w:val="24"/>
              <w:highlight w:val="none"/>
            </w:rPr>
            <w:t>七、 标准作为强制性标准或推荐性标准的建议</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_Toc4985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12</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1A8A1479">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"_Toc5882" </w:instrText>
          </w:r>
          <w:r>
            <w:rPr>
              <w:color w:val="auto"/>
              <w:highlight w:val="none"/>
            </w:rPr>
            <w:fldChar w:fldCharType="separate"/>
          </w:r>
          <w:r>
            <w:rPr>
              <w:rFonts w:hint="eastAsia" w:ascii="宋体" w:hAnsi="宋体" w:eastAsia="宋体" w:cs="宋体"/>
              <w:b/>
              <w:bCs/>
              <w:color w:val="auto"/>
              <w:sz w:val="24"/>
              <w:szCs w:val="24"/>
              <w:highlight w:val="none"/>
            </w:rPr>
            <w:t>八、 贯彻标准要求和措施建议（包括组织措施、技术措施、过渡办法内容）</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_Toc5882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12</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3E401876">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"_Toc28792" </w:instrText>
          </w:r>
          <w:r>
            <w:rPr>
              <w:color w:val="auto"/>
              <w:highlight w:val="none"/>
            </w:rPr>
            <w:fldChar w:fldCharType="separate"/>
          </w:r>
          <w:r>
            <w:rPr>
              <w:rFonts w:hint="eastAsia" w:ascii="宋体" w:hAnsi="宋体" w:eastAsia="宋体" w:cs="宋体"/>
              <w:b/>
              <w:bCs/>
              <w:color w:val="auto"/>
              <w:sz w:val="24"/>
              <w:szCs w:val="24"/>
              <w:highlight w:val="none"/>
            </w:rPr>
            <w:t>九、 废止现行有关标准的建议</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_Toc28792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12</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3BF72AAE">
          <w:pPr>
            <w:pStyle w:val="11"/>
            <w:tabs>
              <w:tab w:val="right" w:leader="dot" w:pos="8307"/>
            </w:tabs>
            <w:spacing w:line="360" w:lineRule="auto"/>
            <w:rPr>
              <w:rFonts w:ascii="宋体" w:hAnsi="宋体" w:eastAsia="宋体" w:cs="宋体"/>
              <w:b/>
              <w:bCs/>
              <w:color w:val="auto"/>
              <w:sz w:val="24"/>
              <w:szCs w:val="24"/>
              <w:highlight w:val="none"/>
            </w:rPr>
          </w:pPr>
          <w:r>
            <w:rPr>
              <w:color w:val="auto"/>
              <w:highlight w:val="none"/>
            </w:rPr>
            <w:fldChar w:fldCharType="begin"/>
          </w:r>
          <w:r>
            <w:rPr>
              <w:color w:val="auto"/>
              <w:highlight w:val="none"/>
            </w:rPr>
            <w:instrText xml:space="preserve"> HYPERLINK \l "_Toc14318" </w:instrText>
          </w:r>
          <w:r>
            <w:rPr>
              <w:color w:val="auto"/>
              <w:highlight w:val="none"/>
            </w:rPr>
            <w:fldChar w:fldCharType="separate"/>
          </w:r>
          <w:r>
            <w:rPr>
              <w:rFonts w:hint="eastAsia" w:ascii="宋体" w:hAnsi="宋体" w:eastAsia="宋体" w:cs="宋体"/>
              <w:b/>
              <w:bCs/>
              <w:color w:val="auto"/>
              <w:sz w:val="24"/>
              <w:szCs w:val="24"/>
              <w:highlight w:val="none"/>
            </w:rPr>
            <w:t>十、 其他应当说明的事项</w:t>
          </w:r>
          <w:r>
            <w:rPr>
              <w:rFonts w:hint="eastAsia" w:ascii="宋体" w:hAnsi="宋体" w:eastAsia="宋体" w:cs="宋体"/>
              <w:b/>
              <w:bCs/>
              <w:color w:val="auto"/>
              <w:sz w:val="24"/>
              <w:szCs w:val="24"/>
              <w:highlight w:val="none"/>
            </w:rPr>
            <w:tab/>
          </w:r>
          <w:r>
            <w:rPr>
              <w:rFonts w:hint="eastAsia" w:ascii="宋体" w:hAnsi="宋体" w:eastAsia="宋体" w:cs="宋体"/>
              <w:b/>
              <w:bCs/>
              <w:color w:val="auto"/>
              <w:sz w:val="24"/>
              <w:szCs w:val="24"/>
              <w:highlight w:val="none"/>
            </w:rPr>
            <w:fldChar w:fldCharType="begin"/>
          </w:r>
          <w:r>
            <w:rPr>
              <w:rFonts w:hint="eastAsia" w:ascii="宋体" w:hAnsi="宋体" w:eastAsia="宋体" w:cs="宋体"/>
              <w:b/>
              <w:bCs/>
              <w:color w:val="auto"/>
              <w:sz w:val="24"/>
              <w:szCs w:val="24"/>
              <w:highlight w:val="none"/>
            </w:rPr>
            <w:instrText xml:space="preserve"> PAGEREF _Toc14318 \h </w:instrText>
          </w:r>
          <w:r>
            <w:rPr>
              <w:rFonts w:hint="eastAsia" w:ascii="宋体" w:hAnsi="宋体" w:eastAsia="宋体" w:cs="宋体"/>
              <w:b/>
              <w:bCs/>
              <w:color w:val="auto"/>
              <w:sz w:val="24"/>
              <w:szCs w:val="24"/>
              <w:highlight w:val="none"/>
            </w:rPr>
            <w:fldChar w:fldCharType="separate"/>
          </w:r>
          <w:r>
            <w:rPr>
              <w:rFonts w:hint="eastAsia" w:ascii="宋体" w:hAnsi="宋体" w:eastAsia="宋体" w:cs="宋体"/>
              <w:b/>
              <w:bCs/>
              <w:color w:val="auto"/>
              <w:sz w:val="24"/>
              <w:szCs w:val="24"/>
              <w:highlight w:val="none"/>
            </w:rPr>
            <w:t>13</w:t>
          </w:r>
          <w:r>
            <w:rPr>
              <w:rFonts w:hint="eastAsia" w:ascii="宋体" w:hAnsi="宋体" w:eastAsia="宋体" w:cs="宋体"/>
              <w:b/>
              <w:bCs/>
              <w:color w:val="auto"/>
              <w:sz w:val="24"/>
              <w:szCs w:val="24"/>
              <w:highlight w:val="none"/>
            </w:rPr>
            <w:fldChar w:fldCharType="end"/>
          </w:r>
          <w:r>
            <w:rPr>
              <w:rFonts w:hint="eastAsia" w:ascii="宋体" w:hAnsi="宋体" w:eastAsia="宋体" w:cs="宋体"/>
              <w:b/>
              <w:bCs/>
              <w:color w:val="auto"/>
              <w:sz w:val="24"/>
              <w:szCs w:val="24"/>
              <w:highlight w:val="none"/>
            </w:rPr>
            <w:fldChar w:fldCharType="end"/>
          </w:r>
        </w:p>
        <w:p w14:paraId="142D1773">
          <w:pPr>
            <w:spacing w:line="360" w:lineRule="auto"/>
            <w:jc w:val="center"/>
            <w:rPr>
              <w:rFonts w:ascii="Times New Roman" w:hAnsi="Times New Roman" w:eastAsia="黑体" w:cs="Times New Roman"/>
              <w:color w:val="auto"/>
              <w:sz w:val="36"/>
              <w:szCs w:val="44"/>
              <w:highlight w:val="none"/>
            </w:rPr>
          </w:pPr>
          <w:r>
            <w:rPr>
              <w:rFonts w:hint="eastAsia" w:ascii="宋体" w:hAnsi="宋体" w:eastAsia="宋体" w:cs="宋体"/>
              <w:color w:val="auto"/>
              <w:sz w:val="24"/>
              <w:szCs w:val="24"/>
              <w:highlight w:val="none"/>
            </w:rPr>
            <w:fldChar w:fldCharType="end"/>
          </w:r>
        </w:p>
      </w:sdtContent>
    </w:sdt>
    <w:p w14:paraId="20E96022">
      <w:pPr>
        <w:spacing w:line="360" w:lineRule="auto"/>
        <w:jc w:val="center"/>
        <w:rPr>
          <w:rFonts w:ascii="Times New Roman" w:hAnsi="Times New Roman" w:eastAsia="黑体" w:cs="Times New Roman"/>
          <w:color w:val="auto"/>
          <w:sz w:val="36"/>
          <w:szCs w:val="44"/>
          <w:highlight w:val="none"/>
        </w:rPr>
      </w:pPr>
    </w:p>
    <w:p w14:paraId="3419CB86">
      <w:pPr>
        <w:spacing w:line="360" w:lineRule="auto"/>
        <w:jc w:val="center"/>
        <w:rPr>
          <w:rFonts w:ascii="Times New Roman" w:hAnsi="Times New Roman" w:eastAsia="黑体" w:cs="Times New Roman"/>
          <w:color w:val="auto"/>
          <w:sz w:val="36"/>
          <w:szCs w:val="44"/>
          <w:highlight w:val="none"/>
        </w:rPr>
      </w:pPr>
    </w:p>
    <w:p w14:paraId="5CA19EFB">
      <w:pPr>
        <w:spacing w:line="360" w:lineRule="auto"/>
        <w:jc w:val="center"/>
        <w:rPr>
          <w:rFonts w:ascii="Times New Roman" w:hAnsi="Times New Roman" w:eastAsia="黑体" w:cs="Times New Roman"/>
          <w:color w:val="auto"/>
          <w:sz w:val="36"/>
          <w:szCs w:val="44"/>
          <w:highlight w:val="none"/>
        </w:rPr>
      </w:pPr>
    </w:p>
    <w:p w14:paraId="3D7C77B6">
      <w:pPr>
        <w:kinsoku/>
        <w:autoSpaceDE/>
        <w:autoSpaceDN/>
        <w:adjustRightInd/>
        <w:snapToGrid/>
        <w:spacing w:after="3" w:line="386" w:lineRule="auto"/>
        <w:ind w:firstLine="410"/>
        <w:jc w:val="center"/>
        <w:textAlignment w:val="auto"/>
        <w:rPr>
          <w:rFonts w:ascii="黑体" w:hAnsi="黑体" w:eastAsia="黑体" w:cs="黑体"/>
          <w:snapToGrid/>
          <w:color w:val="auto"/>
          <w:kern w:val="2"/>
          <w:sz w:val="32"/>
          <w:szCs w:val="28"/>
          <w:highlight w:val="none"/>
        </w:rPr>
        <w:sectPr>
          <w:footerReference r:id="rId3" w:type="default"/>
          <w:pgSz w:w="11907" w:h="16839"/>
          <w:pgMar w:top="1440" w:right="1800" w:bottom="1440" w:left="1800" w:header="0" w:footer="0" w:gutter="0"/>
          <w:pgNumType w:start="1"/>
          <w:cols w:space="720" w:num="1"/>
        </w:sectPr>
      </w:pPr>
      <w:bookmarkStart w:id="4" w:name="_Toc8191"/>
    </w:p>
    <w:p w14:paraId="6BBFBC82">
      <w:pPr>
        <w:kinsoku/>
        <w:autoSpaceDE/>
        <w:autoSpaceDN/>
        <w:adjustRightInd/>
        <w:snapToGrid/>
        <w:spacing w:after="3" w:line="386" w:lineRule="auto"/>
        <w:ind w:firstLine="410"/>
        <w:jc w:val="center"/>
        <w:textAlignment w:val="auto"/>
        <w:rPr>
          <w:rFonts w:ascii="黑体" w:hAnsi="黑体" w:eastAsia="黑体" w:cs="黑体"/>
          <w:snapToGrid/>
          <w:color w:val="auto"/>
          <w:kern w:val="2"/>
          <w:sz w:val="32"/>
          <w:szCs w:val="28"/>
          <w:highlight w:val="none"/>
        </w:rPr>
      </w:pPr>
      <w:r>
        <w:rPr>
          <w:rFonts w:hint="eastAsia" w:ascii="黑体" w:hAnsi="黑体" w:eastAsia="黑体" w:cs="黑体"/>
          <w:snapToGrid/>
          <w:color w:val="auto"/>
          <w:kern w:val="2"/>
          <w:sz w:val="32"/>
          <w:szCs w:val="28"/>
          <w:highlight w:val="none"/>
        </w:rPr>
        <w:t>智能汽车基础地图数据分类分级规则</w:t>
      </w:r>
      <w:bookmarkEnd w:id="4"/>
      <w:bookmarkStart w:id="5" w:name="_Toc24103"/>
    </w:p>
    <w:p w14:paraId="35AFBFDD">
      <w:pPr>
        <w:kinsoku/>
        <w:autoSpaceDE/>
        <w:autoSpaceDN/>
        <w:adjustRightInd/>
        <w:snapToGrid/>
        <w:spacing w:after="3" w:line="386" w:lineRule="auto"/>
        <w:ind w:firstLine="410"/>
        <w:jc w:val="center"/>
        <w:textAlignment w:val="auto"/>
        <w:rPr>
          <w:rFonts w:ascii="黑体" w:hAnsi="黑体" w:eastAsia="黑体" w:cs="黑体"/>
          <w:snapToGrid/>
          <w:color w:val="auto"/>
          <w:kern w:val="2"/>
          <w:sz w:val="32"/>
          <w:szCs w:val="28"/>
          <w:highlight w:val="none"/>
        </w:rPr>
      </w:pPr>
      <w:r>
        <w:rPr>
          <w:rFonts w:hint="eastAsia" w:ascii="黑体" w:hAnsi="黑体" w:eastAsia="黑体" w:cs="黑体"/>
          <w:snapToGrid/>
          <w:color w:val="auto"/>
          <w:kern w:val="2"/>
          <w:sz w:val="32"/>
          <w:szCs w:val="28"/>
          <w:highlight w:val="none"/>
        </w:rPr>
        <w:t>（征求意见稿）</w:t>
      </w:r>
      <w:bookmarkEnd w:id="5"/>
      <w:r>
        <w:rPr>
          <w:rFonts w:hint="eastAsia" w:ascii="黑体" w:hAnsi="黑体" w:eastAsia="黑体" w:cs="黑体"/>
          <w:snapToGrid/>
          <w:color w:val="auto"/>
          <w:kern w:val="2"/>
          <w:sz w:val="32"/>
          <w:szCs w:val="28"/>
          <w:highlight w:val="none"/>
        </w:rPr>
        <w:t>编制说明</w:t>
      </w:r>
    </w:p>
    <w:p w14:paraId="326045D8">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6" w:name="_Toc19748"/>
      <w:r>
        <w:rPr>
          <w:rFonts w:ascii="Times New Roman" w:hAnsi="Times New Roman" w:eastAsia="宋体" w:cs="Times New Roman"/>
          <w:b/>
          <w:bCs/>
          <w:color w:val="auto"/>
          <w:sz w:val="24"/>
          <w:szCs w:val="28"/>
          <w:highlight w:val="none"/>
        </w:rPr>
        <w:t>工作简况</w:t>
      </w:r>
      <w:bookmarkEnd w:id="6"/>
    </w:p>
    <w:p w14:paraId="32645107">
      <w:pPr>
        <w:numPr>
          <w:ilvl w:val="0"/>
          <w:numId w:val="2"/>
        </w:numPr>
        <w:spacing w:line="360" w:lineRule="auto"/>
        <w:jc w:val="both"/>
        <w:outlineLvl w:val="1"/>
        <w:rPr>
          <w:rFonts w:ascii="Times New Roman" w:hAnsi="Times New Roman" w:eastAsia="宋体" w:cs="Times New Roman"/>
          <w:b/>
          <w:bCs/>
          <w:color w:val="auto"/>
          <w:sz w:val="24"/>
          <w:szCs w:val="28"/>
          <w:highlight w:val="none"/>
        </w:rPr>
      </w:pPr>
      <w:bookmarkStart w:id="7" w:name="_Toc148619392"/>
      <w:bookmarkStart w:id="8" w:name="_Toc4349"/>
      <w:bookmarkStart w:id="9" w:name="_Toc148984859"/>
      <w:r>
        <w:rPr>
          <w:rFonts w:ascii="Times New Roman" w:hAnsi="Times New Roman" w:eastAsia="宋体" w:cs="Times New Roman"/>
          <w:b/>
          <w:bCs/>
          <w:color w:val="auto"/>
          <w:sz w:val="24"/>
          <w:szCs w:val="28"/>
          <w:highlight w:val="none"/>
        </w:rPr>
        <w:t>任务来源</w:t>
      </w:r>
      <w:bookmarkEnd w:id="7"/>
      <w:bookmarkEnd w:id="8"/>
      <w:bookmarkEnd w:id="9"/>
    </w:p>
    <w:p w14:paraId="4D85400D">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为推动智能汽车基础地图标准体系建设与产业健康有序发展，根据自然资源部印发的《自然资源部办公厅关于印发2024年度自然资源标准制修订工作计划的通知（自然资办发〔2024〕36号）》有关要求，中国测绘科学研究院牵头，</w:t>
      </w:r>
      <w:r>
        <w:rPr>
          <w:rFonts w:ascii="Times New Roman" w:hAnsi="Times New Roman" w:eastAsia="宋体" w:cs="Times New Roman"/>
          <w:snapToGrid/>
          <w:color w:val="auto"/>
          <w:sz w:val="24"/>
          <w:szCs w:val="28"/>
          <w:highlight w:val="none"/>
        </w:rPr>
        <w:t>联合</w:t>
      </w:r>
      <w:r>
        <w:rPr>
          <w:rFonts w:hint="eastAsia" w:ascii="Times New Roman" w:hAnsi="Times New Roman" w:eastAsia="宋体" w:cs="Times New Roman"/>
          <w:snapToGrid/>
          <w:color w:val="auto"/>
          <w:sz w:val="24"/>
          <w:szCs w:val="28"/>
          <w:highlight w:val="none"/>
        </w:rPr>
        <w:t>有关单位共同开展《智能汽车基础地图数据分类分级规则》研制，计划号为202432003。</w:t>
      </w:r>
    </w:p>
    <w:p w14:paraId="0BF709A5">
      <w:pPr>
        <w:numPr>
          <w:ilvl w:val="0"/>
          <w:numId w:val="2"/>
        </w:numPr>
        <w:spacing w:line="360" w:lineRule="auto"/>
        <w:jc w:val="both"/>
        <w:outlineLvl w:val="1"/>
        <w:rPr>
          <w:rFonts w:ascii="Times New Roman" w:hAnsi="Times New Roman" w:eastAsia="宋体" w:cs="Times New Roman"/>
          <w:b/>
          <w:bCs/>
          <w:color w:val="auto"/>
          <w:sz w:val="24"/>
          <w:szCs w:val="28"/>
          <w:highlight w:val="none"/>
        </w:rPr>
      </w:pPr>
      <w:bookmarkStart w:id="10" w:name="_Toc23544"/>
      <w:bookmarkStart w:id="11" w:name="_Toc148984860"/>
      <w:bookmarkStart w:id="12" w:name="_Toc148619393"/>
      <w:r>
        <w:rPr>
          <w:rFonts w:hint="eastAsia" w:ascii="Times New Roman" w:hAnsi="Times New Roman" w:eastAsia="宋体" w:cs="Times New Roman"/>
          <w:b/>
          <w:bCs/>
          <w:color w:val="auto"/>
          <w:sz w:val="24"/>
          <w:szCs w:val="28"/>
          <w:highlight w:val="none"/>
        </w:rPr>
        <w:t>目的意义</w:t>
      </w:r>
      <w:bookmarkEnd w:id="10"/>
    </w:p>
    <w:p w14:paraId="1F39A708">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智能汽车基础地图是面向智能汽车驾驶自动化需求演变发展而产生的新型导航电子地图，可与空间定位系统和感知设备等相关装置结合，为车道级导航定位、感知预警以及行为决策等提供重要数据支撑。在智能汽车技术迅猛发展的当下，智能汽车基础地图作为国家基础性和战略性的信息资源，</w:t>
      </w:r>
      <w:r>
        <w:rPr>
          <w:rFonts w:hint="eastAsia" w:ascii="Times New Roman" w:hAnsi="Times New Roman" w:eastAsia="宋体" w:cs="Times New Roman"/>
          <w:snapToGrid/>
          <w:color w:val="auto"/>
          <w:sz w:val="24"/>
          <w:szCs w:val="28"/>
          <w:highlight w:val="none"/>
          <w:lang w:val="en-US" w:eastAsia="zh-CN"/>
        </w:rPr>
        <w:t>涉及</w:t>
      </w:r>
      <w:r>
        <w:rPr>
          <w:rFonts w:hint="eastAsia" w:ascii="Times New Roman" w:hAnsi="Times New Roman" w:eastAsia="宋体" w:cs="Times New Roman"/>
          <w:snapToGrid/>
          <w:color w:val="auto"/>
          <w:sz w:val="24"/>
          <w:szCs w:val="28"/>
          <w:highlight w:val="none"/>
        </w:rPr>
        <w:t>跨行业领域技术融合以及场景业务应用</w:t>
      </w:r>
      <w:r>
        <w:rPr>
          <w:rFonts w:hint="eastAsia" w:ascii="Times New Roman" w:hAnsi="Times New Roman" w:eastAsia="宋体" w:cs="Times New Roman"/>
          <w:snapToGrid/>
          <w:color w:val="auto"/>
          <w:sz w:val="24"/>
          <w:szCs w:val="28"/>
          <w:highlight w:val="none"/>
          <w:lang w:val="en-US" w:eastAsia="zh-CN"/>
        </w:rPr>
        <w:t>方面</w:t>
      </w:r>
      <w:r>
        <w:rPr>
          <w:rFonts w:hint="eastAsia" w:ascii="Times New Roman" w:hAnsi="Times New Roman" w:eastAsia="宋体" w:cs="Times New Roman"/>
          <w:snapToGrid/>
          <w:color w:val="auto"/>
          <w:sz w:val="24"/>
          <w:szCs w:val="28"/>
          <w:highlight w:val="none"/>
        </w:rPr>
        <w:t>，正逐步呈现出多元化与复杂化的态势</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然而，就智能汽车基础地图数据分类分级的基本原则和体系规则等方面而言，目前尚未达成有效的行业共识。这一现状导致智能汽车基础地图数据在社会化应用过程中，存在不同程度的地理信息安全风险隐患</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基于此，开展智能汽车基础地图数据分类分级标准的研制工作已</w:t>
      </w:r>
      <w:r>
        <w:rPr>
          <w:rFonts w:hint="eastAsia" w:ascii="Times New Roman" w:hAnsi="Times New Roman" w:eastAsia="宋体" w:cs="Times New Roman"/>
          <w:snapToGrid/>
          <w:color w:val="auto"/>
          <w:sz w:val="24"/>
          <w:szCs w:val="28"/>
          <w:highlight w:val="none"/>
          <w:lang w:val="en-US" w:eastAsia="zh-CN"/>
        </w:rPr>
        <w:t>迫在眉睫</w:t>
      </w:r>
      <w:r>
        <w:rPr>
          <w:rFonts w:hint="eastAsia" w:ascii="Times New Roman" w:hAnsi="Times New Roman" w:eastAsia="宋体" w:cs="Times New Roman"/>
          <w:snapToGrid/>
          <w:color w:val="auto"/>
          <w:sz w:val="24"/>
          <w:szCs w:val="28"/>
          <w:highlight w:val="none"/>
        </w:rPr>
        <w:t>，具有重要的现实意义和紧迫性。</w:t>
      </w:r>
    </w:p>
    <w:p w14:paraId="01C99834">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作为我国智能汽车基础地图标准体系中“基础通用部分”的重点标准，本文件聚焦智能汽车基础地图数据分类分级，明确提出智能汽车基础地图数据分类分级的基本原则、数据分类和分级内容。其先行制定有助于规范非涉密智能汽车基础地图数据的分类分级管理，与智能汽车基础地图标准体系内</w:t>
      </w:r>
      <w:r>
        <w:rPr>
          <w:rFonts w:hint="eastAsia" w:ascii="Times New Roman" w:hAnsi="Times New Roman" w:eastAsia="宋体" w:cs="Times New Roman"/>
          <w:snapToGrid/>
          <w:color w:val="auto"/>
          <w:sz w:val="24"/>
          <w:szCs w:val="28"/>
          <w:highlight w:val="none"/>
          <w:lang w:val="en-US" w:eastAsia="zh-CN"/>
        </w:rPr>
        <w:t>的</w:t>
      </w:r>
      <w:r>
        <w:rPr>
          <w:rFonts w:hint="eastAsia" w:ascii="Times New Roman" w:hAnsi="Times New Roman" w:eastAsia="宋体" w:cs="Times New Roman"/>
          <w:snapToGrid/>
          <w:color w:val="auto"/>
          <w:sz w:val="24"/>
          <w:szCs w:val="28"/>
          <w:highlight w:val="none"/>
        </w:rPr>
        <w:t>其他标准相互协同、配套使用，</w:t>
      </w:r>
      <w:r>
        <w:rPr>
          <w:rFonts w:hint="eastAsia" w:ascii="Times New Roman" w:hAnsi="Times New Roman" w:eastAsia="宋体" w:cs="Times New Roman"/>
          <w:snapToGrid/>
          <w:color w:val="auto"/>
          <w:sz w:val="24"/>
          <w:szCs w:val="28"/>
          <w:highlight w:val="none"/>
          <w:lang w:val="en-US" w:eastAsia="zh-CN"/>
        </w:rPr>
        <w:t>共同</w:t>
      </w:r>
      <w:r>
        <w:rPr>
          <w:rFonts w:hint="eastAsia" w:ascii="Times New Roman" w:hAnsi="Times New Roman" w:eastAsia="宋体" w:cs="Times New Roman"/>
          <w:snapToGrid/>
          <w:color w:val="auto"/>
          <w:sz w:val="24"/>
          <w:szCs w:val="28"/>
          <w:highlight w:val="none"/>
        </w:rPr>
        <w:t>推动智能汽车基础地图数据安全、合规、高效应用。</w:t>
      </w:r>
    </w:p>
    <w:p w14:paraId="2DE0C282">
      <w:pPr>
        <w:numPr>
          <w:ilvl w:val="0"/>
          <w:numId w:val="2"/>
        </w:numPr>
        <w:spacing w:line="360" w:lineRule="auto"/>
        <w:jc w:val="both"/>
        <w:outlineLvl w:val="1"/>
        <w:rPr>
          <w:rFonts w:ascii="Times New Roman" w:hAnsi="Times New Roman" w:eastAsia="宋体" w:cs="Times New Roman"/>
          <w:b/>
          <w:bCs/>
          <w:color w:val="auto"/>
          <w:sz w:val="24"/>
          <w:szCs w:val="28"/>
          <w:highlight w:val="none"/>
        </w:rPr>
      </w:pPr>
      <w:bookmarkStart w:id="13" w:name="_Toc15652"/>
      <w:r>
        <w:rPr>
          <w:rFonts w:hint="eastAsia" w:ascii="Times New Roman" w:hAnsi="Times New Roman" w:eastAsia="宋体" w:cs="Times New Roman"/>
          <w:b/>
          <w:bCs/>
          <w:color w:val="auto"/>
          <w:sz w:val="24"/>
          <w:szCs w:val="28"/>
          <w:highlight w:val="none"/>
        </w:rPr>
        <w:t>起草单位</w:t>
      </w:r>
      <w:bookmarkEnd w:id="13"/>
    </w:p>
    <w:p w14:paraId="4DC26D28">
      <w:pPr>
        <w:spacing w:line="360" w:lineRule="auto"/>
        <w:ind w:firstLine="480" w:firstLineChars="200"/>
        <w:jc w:val="both"/>
        <w:rPr>
          <w:color w:val="auto"/>
          <w:highlight w:val="none"/>
        </w:rPr>
      </w:pPr>
      <w:r>
        <w:rPr>
          <w:rFonts w:hint="eastAsia" w:ascii="宋体" w:hAnsi="宋体" w:eastAsia="宋体" w:cs="宋体"/>
          <w:color w:val="auto"/>
          <w:sz w:val="24"/>
          <w:szCs w:val="24"/>
          <w:highlight w:val="none"/>
        </w:rPr>
        <w:t>本标准由中国测绘科学研究院牵头，联合自然资源部测绘标准化研究所、易图通科技（北京）有限公司、北京百度智图科技有限公司、北京四维图新科技股份有限公司、高德软件有限公司、北京华为数字技术有限公司、自然资源部信息中心、腾讯大地通途（北京）科技有限公司、沈阳美行科技股份有限公司、国汽智图（北京）科技有限公司、北京市测绘设计研究院</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rPr>
        <w:t>中汽智联技术有限公司、</w:t>
      </w:r>
      <w:r>
        <w:rPr>
          <w:rFonts w:hint="eastAsia" w:asciiTheme="minorEastAsia" w:hAnsiTheme="minorEastAsia" w:eastAsiaTheme="minorEastAsia"/>
          <w:color w:val="auto"/>
          <w:sz w:val="24"/>
          <w:highlight w:val="none"/>
        </w:rPr>
        <w:t>重庆长安汽车股份有限公司</w:t>
      </w:r>
      <w:r>
        <w:rPr>
          <w:rFonts w:hint="eastAsia" w:ascii="宋体" w:hAnsi="宋体" w:eastAsia="宋体" w:cs="宋体"/>
          <w:color w:val="auto"/>
          <w:sz w:val="24"/>
          <w:szCs w:val="24"/>
          <w:highlight w:val="none"/>
        </w:rPr>
        <w:t>等</w:t>
      </w:r>
      <w:r>
        <w:rPr>
          <w:rFonts w:hint="default" w:ascii="Times New Roman" w:hAnsi="Times New Roman" w:eastAsia="宋体" w:cs="Times New Roman"/>
          <w:color w:val="auto"/>
          <w:sz w:val="24"/>
          <w:szCs w:val="24"/>
          <w:highlight w:val="none"/>
          <w:lang w:val="en-US" w:eastAsia="zh-CN"/>
        </w:rPr>
        <w:t>1</w:t>
      </w:r>
      <w:r>
        <w:rPr>
          <w:rFonts w:hint="eastAsia" w:ascii="Times New Roman" w:hAnsi="Times New Roman" w:eastAsia="宋体" w:cs="Times New Roman"/>
          <w:color w:val="auto"/>
          <w:sz w:val="24"/>
          <w:szCs w:val="24"/>
          <w:highlight w:val="none"/>
          <w:lang w:val="en-US" w:eastAsia="zh-CN"/>
        </w:rPr>
        <w:t>4</w:t>
      </w:r>
      <w:r>
        <w:rPr>
          <w:rFonts w:hint="eastAsia" w:ascii="宋体" w:hAnsi="宋体" w:eastAsia="宋体" w:cs="宋体"/>
          <w:color w:val="auto"/>
          <w:sz w:val="24"/>
          <w:szCs w:val="24"/>
          <w:highlight w:val="none"/>
        </w:rPr>
        <w:t>家单位共同起草</w:t>
      </w:r>
      <w:r>
        <w:rPr>
          <w:rFonts w:hint="eastAsia" w:ascii="宋体" w:hAnsi="宋体" w:eastAsia="宋体" w:cs="宋体"/>
          <w:color w:val="auto"/>
          <w:sz w:val="24"/>
          <w:szCs w:val="24"/>
          <w:highlight w:val="none"/>
          <w:lang w:eastAsia="zh-CN"/>
        </w:rPr>
        <w:t>编制。</w:t>
      </w:r>
    </w:p>
    <w:p w14:paraId="52DADFC5">
      <w:pPr>
        <w:numPr>
          <w:ilvl w:val="0"/>
          <w:numId w:val="2"/>
        </w:numPr>
        <w:spacing w:line="360" w:lineRule="auto"/>
        <w:jc w:val="both"/>
        <w:outlineLvl w:val="1"/>
        <w:rPr>
          <w:rFonts w:ascii="Times New Roman" w:hAnsi="Times New Roman" w:eastAsia="宋体" w:cs="Times New Roman"/>
          <w:b/>
          <w:bCs/>
          <w:color w:val="auto"/>
          <w:sz w:val="24"/>
          <w:szCs w:val="28"/>
          <w:highlight w:val="none"/>
        </w:rPr>
      </w:pPr>
      <w:bookmarkStart w:id="14" w:name="_Toc563"/>
      <w:r>
        <w:rPr>
          <w:rFonts w:hint="eastAsia" w:ascii="Times New Roman" w:hAnsi="Times New Roman" w:eastAsia="宋体" w:cs="Times New Roman"/>
          <w:b/>
          <w:bCs/>
          <w:color w:val="auto"/>
          <w:sz w:val="24"/>
          <w:szCs w:val="28"/>
          <w:highlight w:val="none"/>
        </w:rPr>
        <w:t>主要工作过程</w:t>
      </w:r>
      <w:bookmarkEnd w:id="11"/>
      <w:bookmarkEnd w:id="12"/>
      <w:bookmarkEnd w:id="14"/>
    </w:p>
    <w:p w14:paraId="31C77883">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ascii="Times New Roman" w:hAnsi="Times New Roman" w:eastAsia="宋体" w:cs="Times New Roman"/>
          <w:snapToGrid/>
          <w:color w:val="auto"/>
          <w:sz w:val="24"/>
          <w:szCs w:val="28"/>
          <w:highlight w:val="none"/>
        </w:rPr>
        <w:t>在自然资源部地理信息管理司的指导下，</w:t>
      </w:r>
      <w:r>
        <w:rPr>
          <w:rFonts w:hint="eastAsia" w:ascii="Times New Roman" w:hAnsi="Times New Roman" w:eastAsia="宋体" w:cs="Times New Roman"/>
          <w:snapToGrid/>
          <w:color w:val="auto"/>
          <w:sz w:val="24"/>
          <w:szCs w:val="28"/>
          <w:highlight w:val="none"/>
        </w:rPr>
        <w:t>中国测绘科学研究院作为牵头单位，承担起标准前期预研与起草的关键职责。自2024年度自然资源标准制修订工作计划正式下达后，牵头单位充分发挥引领作用，</w:t>
      </w:r>
      <w:r>
        <w:rPr>
          <w:rFonts w:hint="eastAsia" w:ascii="Times New Roman" w:hAnsi="Times New Roman" w:eastAsia="宋体" w:cs="Times New Roman"/>
          <w:snapToGrid/>
          <w:color w:val="auto"/>
          <w:sz w:val="24"/>
          <w:szCs w:val="28"/>
          <w:highlight w:val="none"/>
          <w:lang w:val="en-US" w:eastAsia="zh-CN"/>
        </w:rPr>
        <w:t>通过</w:t>
      </w:r>
      <w:r>
        <w:rPr>
          <w:rFonts w:hint="eastAsia" w:ascii="Times New Roman" w:hAnsi="Times New Roman" w:eastAsia="宋体" w:cs="Times New Roman"/>
          <w:snapToGrid/>
          <w:color w:val="auto"/>
          <w:sz w:val="24"/>
          <w:szCs w:val="28"/>
          <w:highlight w:val="none"/>
          <w:lang w:eastAsia="zh-CN"/>
        </w:rPr>
        <w:t>行业走访调研、项目合作交流</w:t>
      </w:r>
      <w:r>
        <w:rPr>
          <w:rFonts w:hint="eastAsia" w:ascii="Times New Roman" w:hAnsi="Times New Roman" w:eastAsia="宋体" w:cs="Times New Roman"/>
          <w:snapToGrid/>
          <w:color w:val="auto"/>
          <w:sz w:val="24"/>
          <w:szCs w:val="28"/>
          <w:highlight w:val="none"/>
          <w:lang w:val="en-US" w:eastAsia="zh-CN"/>
        </w:rPr>
        <w:t>以及</w:t>
      </w:r>
      <w:r>
        <w:rPr>
          <w:rFonts w:hint="eastAsia" w:ascii="Times New Roman" w:hAnsi="Times New Roman" w:eastAsia="宋体" w:cs="Times New Roman"/>
          <w:snapToGrid/>
          <w:color w:val="auto"/>
          <w:sz w:val="24"/>
          <w:szCs w:val="28"/>
          <w:highlight w:val="none"/>
          <w:lang w:eastAsia="zh-CN"/>
        </w:rPr>
        <w:t>专题集中研讨</w:t>
      </w:r>
      <w:r>
        <w:rPr>
          <w:rFonts w:hint="eastAsia" w:ascii="Times New Roman" w:hAnsi="Times New Roman" w:eastAsia="宋体" w:cs="Times New Roman"/>
          <w:snapToGrid/>
          <w:color w:val="auto"/>
          <w:sz w:val="24"/>
          <w:szCs w:val="28"/>
          <w:highlight w:val="none"/>
          <w:lang w:val="en-US" w:eastAsia="zh-CN"/>
        </w:rPr>
        <w:t>等</w:t>
      </w:r>
      <w:r>
        <w:rPr>
          <w:rFonts w:hint="eastAsia" w:ascii="Times New Roman" w:hAnsi="Times New Roman" w:eastAsia="宋体" w:cs="Times New Roman"/>
          <w:snapToGrid/>
          <w:color w:val="auto"/>
          <w:sz w:val="24"/>
          <w:szCs w:val="28"/>
          <w:highlight w:val="none"/>
        </w:rPr>
        <w:t>多</w:t>
      </w:r>
      <w:r>
        <w:rPr>
          <w:rFonts w:hint="eastAsia" w:ascii="Times New Roman" w:hAnsi="Times New Roman" w:eastAsia="宋体" w:cs="Times New Roman"/>
          <w:snapToGrid/>
          <w:color w:val="auto"/>
          <w:sz w:val="24"/>
          <w:szCs w:val="28"/>
          <w:highlight w:val="none"/>
          <w:lang w:val="en-US" w:eastAsia="zh-CN"/>
        </w:rPr>
        <w:t>种</w:t>
      </w:r>
      <w:r>
        <w:rPr>
          <w:rFonts w:hint="eastAsia" w:ascii="Times New Roman" w:hAnsi="Times New Roman" w:eastAsia="宋体" w:cs="Times New Roman"/>
          <w:snapToGrid/>
          <w:color w:val="auto"/>
          <w:sz w:val="24"/>
          <w:szCs w:val="28"/>
          <w:highlight w:val="none"/>
        </w:rPr>
        <w:t>方式</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组织推进标准草案及技术内容的编制工作</w:t>
      </w:r>
      <w:r>
        <w:rPr>
          <w:rFonts w:hint="eastAsia" w:ascii="Times New Roman" w:hAnsi="Times New Roman" w:eastAsia="宋体" w:cs="Times New Roman"/>
          <w:snapToGrid/>
          <w:color w:val="auto"/>
          <w:sz w:val="24"/>
          <w:szCs w:val="28"/>
          <w:highlight w:val="none"/>
          <w:lang w:eastAsia="zh-CN"/>
        </w:rPr>
        <w:t>。围绕智能汽车基础地图相关行业领域技术融合的复杂性与场景应用的多样性特点，</w:t>
      </w:r>
      <w:r>
        <w:rPr>
          <w:rFonts w:hint="eastAsia" w:ascii="Times New Roman" w:hAnsi="Times New Roman" w:eastAsia="宋体" w:cs="Times New Roman"/>
          <w:snapToGrid/>
          <w:color w:val="auto"/>
          <w:sz w:val="24"/>
          <w:szCs w:val="28"/>
          <w:highlight w:val="none"/>
          <w:lang w:val="en-US" w:eastAsia="zh-CN"/>
        </w:rPr>
        <w:t>结合自然资源部和</w:t>
      </w:r>
      <w:r>
        <w:rPr>
          <w:rFonts w:hint="eastAsia" w:ascii="Times New Roman" w:hAnsi="Times New Roman" w:eastAsia="宋体" w:cs="Times New Roman"/>
          <w:snapToGrid/>
          <w:color w:val="auto"/>
          <w:sz w:val="24"/>
          <w:szCs w:val="28"/>
          <w:highlight w:val="none"/>
          <w:lang w:eastAsia="zh-CN"/>
        </w:rPr>
        <w:t>工业和信息化部等多部委联合开展的自动驾驶重要数据分类分级工作</w:t>
      </w:r>
      <w:r>
        <w:rPr>
          <w:rFonts w:hint="eastAsia" w:ascii="Times New Roman" w:hAnsi="Times New Roman" w:eastAsia="宋体" w:cs="Times New Roman"/>
          <w:snapToGrid/>
          <w:color w:val="auto"/>
          <w:sz w:val="24"/>
          <w:szCs w:val="28"/>
          <w:highlight w:val="none"/>
          <w:lang w:val="en-US" w:eastAsia="zh-CN"/>
        </w:rPr>
        <w:t>进展情况</w:t>
      </w:r>
      <w:r>
        <w:rPr>
          <w:rFonts w:hint="eastAsia" w:ascii="Times New Roman" w:hAnsi="Times New Roman" w:eastAsia="宋体" w:cs="Times New Roman"/>
          <w:snapToGrid/>
          <w:color w:val="auto"/>
          <w:sz w:val="24"/>
          <w:szCs w:val="28"/>
          <w:highlight w:val="none"/>
          <w:lang w:eastAsia="zh-CN"/>
        </w:rPr>
        <w:t>，不断优化完善智能汽车基础地图数据分类分级体系及其对应规则内容，形成了标准的征求意见稿</w:t>
      </w:r>
      <w:r>
        <w:rPr>
          <w:rFonts w:hint="eastAsia" w:ascii="Times New Roman" w:hAnsi="Times New Roman" w:eastAsia="宋体" w:cs="Times New Roman"/>
          <w:snapToGrid/>
          <w:color w:val="auto"/>
          <w:sz w:val="24"/>
          <w:szCs w:val="28"/>
          <w:highlight w:val="none"/>
        </w:rPr>
        <w:t>。主要工作过程如下：</w:t>
      </w:r>
    </w:p>
    <w:p w14:paraId="4C66FB4D">
      <w:pPr>
        <w:pStyle w:val="5"/>
        <w:ind w:firstLine="482" w:firstLineChars="200"/>
        <w:jc w:val="both"/>
        <w:rPr>
          <w:b/>
          <w:bCs/>
          <w:color w:val="auto"/>
          <w:highlight w:val="none"/>
        </w:rPr>
      </w:pPr>
      <w:r>
        <w:rPr>
          <w:rFonts w:hint="eastAsia"/>
          <w:b/>
          <w:bCs/>
          <w:snapToGrid/>
          <w:color w:val="auto"/>
          <w:sz w:val="24"/>
          <w:szCs w:val="28"/>
          <w:highlight w:val="none"/>
        </w:rPr>
        <w:t>1）前期预研</w:t>
      </w:r>
    </w:p>
    <w:p w14:paraId="25C39E47">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ascii="Times New Roman" w:hAnsi="Times New Roman" w:eastAsia="宋体" w:cs="Times New Roman"/>
          <w:snapToGrid/>
          <w:color w:val="auto"/>
          <w:sz w:val="24"/>
          <w:szCs w:val="24"/>
          <w:highlight w:val="none"/>
        </w:rPr>
        <w:t>202</w:t>
      </w:r>
      <w:r>
        <w:rPr>
          <w:rFonts w:hint="eastAsia" w:ascii="Times New Roman" w:hAnsi="Times New Roman" w:eastAsia="宋体" w:cs="Times New Roman"/>
          <w:snapToGrid/>
          <w:color w:val="auto"/>
          <w:sz w:val="24"/>
          <w:szCs w:val="24"/>
          <w:highlight w:val="none"/>
        </w:rPr>
        <w:t>3</w:t>
      </w:r>
      <w:r>
        <w:rPr>
          <w:rFonts w:ascii="Times New Roman" w:hAnsi="Times New Roman" w:eastAsia="宋体" w:cs="Times New Roman"/>
          <w:snapToGrid/>
          <w:color w:val="auto"/>
          <w:sz w:val="24"/>
          <w:szCs w:val="24"/>
          <w:highlight w:val="none"/>
        </w:rPr>
        <w:t>年</w:t>
      </w:r>
      <w:r>
        <w:rPr>
          <w:rFonts w:hint="eastAsia" w:ascii="Times New Roman" w:hAnsi="Times New Roman" w:eastAsia="宋体" w:cs="Times New Roman"/>
          <w:snapToGrid/>
          <w:color w:val="auto"/>
          <w:sz w:val="24"/>
          <w:szCs w:val="24"/>
          <w:highlight w:val="none"/>
        </w:rPr>
        <w:t>6</w:t>
      </w:r>
      <w:r>
        <w:rPr>
          <w:rFonts w:ascii="Times New Roman" w:hAnsi="Times New Roman" w:eastAsia="宋体" w:cs="Times New Roman"/>
          <w:snapToGrid/>
          <w:color w:val="auto"/>
          <w:sz w:val="24"/>
          <w:szCs w:val="24"/>
          <w:highlight w:val="none"/>
        </w:rPr>
        <w:t>月，</w:t>
      </w:r>
      <w:r>
        <w:rPr>
          <w:rFonts w:hint="eastAsia" w:ascii="Times New Roman" w:hAnsi="Times New Roman" w:eastAsia="宋体" w:cs="Times New Roman"/>
          <w:snapToGrid/>
          <w:color w:val="auto"/>
          <w:sz w:val="24"/>
          <w:szCs w:val="24"/>
          <w:highlight w:val="none"/>
        </w:rPr>
        <w:t>牵头单位启动</w:t>
      </w:r>
      <w:r>
        <w:rPr>
          <w:rFonts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rPr>
        <w:t>智能汽车基础地图数据分类分级规则</w:t>
      </w:r>
      <w:r>
        <w:rPr>
          <w:rFonts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rPr>
        <w:t>标准技术预研工作</w:t>
      </w:r>
      <w:r>
        <w:rPr>
          <w:rFonts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rPr>
        <w:t>成立工作组并明确后续任务分工及计划安排</w:t>
      </w:r>
      <w:r>
        <w:rPr>
          <w:rFonts w:ascii="Times New Roman" w:hAnsi="Times New Roman" w:eastAsia="宋体" w:cs="Times New Roman"/>
          <w:snapToGrid/>
          <w:color w:val="auto"/>
          <w:sz w:val="24"/>
          <w:szCs w:val="24"/>
          <w:highlight w:val="none"/>
        </w:rPr>
        <w:t>。</w:t>
      </w:r>
    </w:p>
    <w:p w14:paraId="5C9BD372">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ascii="Times New Roman" w:hAnsi="Times New Roman" w:eastAsia="宋体" w:cs="Times New Roman"/>
          <w:snapToGrid/>
          <w:color w:val="auto"/>
          <w:sz w:val="24"/>
          <w:szCs w:val="24"/>
          <w:highlight w:val="none"/>
        </w:rPr>
        <w:t>202</w:t>
      </w:r>
      <w:r>
        <w:rPr>
          <w:rFonts w:hint="eastAsia" w:ascii="Times New Roman" w:hAnsi="Times New Roman" w:eastAsia="宋体" w:cs="Times New Roman"/>
          <w:snapToGrid/>
          <w:color w:val="auto"/>
          <w:sz w:val="24"/>
          <w:szCs w:val="24"/>
          <w:highlight w:val="none"/>
        </w:rPr>
        <w:t>3</w:t>
      </w:r>
      <w:r>
        <w:rPr>
          <w:rFonts w:ascii="Times New Roman" w:hAnsi="Times New Roman" w:eastAsia="宋体" w:cs="Times New Roman"/>
          <w:snapToGrid/>
          <w:color w:val="auto"/>
          <w:sz w:val="24"/>
          <w:szCs w:val="24"/>
          <w:highlight w:val="none"/>
        </w:rPr>
        <w:t>年</w:t>
      </w:r>
      <w:r>
        <w:rPr>
          <w:rFonts w:hint="eastAsia" w:ascii="Times New Roman" w:hAnsi="Times New Roman" w:eastAsia="宋体" w:cs="Times New Roman"/>
          <w:snapToGrid/>
          <w:color w:val="auto"/>
          <w:sz w:val="24"/>
          <w:szCs w:val="24"/>
          <w:highlight w:val="none"/>
        </w:rPr>
        <w:t>7月至9</w:t>
      </w:r>
      <w:r>
        <w:rPr>
          <w:rFonts w:ascii="Times New Roman" w:hAnsi="Times New Roman" w:eastAsia="宋体" w:cs="Times New Roman"/>
          <w:snapToGrid/>
          <w:color w:val="auto"/>
          <w:sz w:val="24"/>
          <w:szCs w:val="24"/>
          <w:highlight w:val="none"/>
        </w:rPr>
        <w:t>月，工作组</w:t>
      </w:r>
      <w:r>
        <w:rPr>
          <w:rFonts w:hint="eastAsia" w:ascii="Times New Roman" w:hAnsi="Times New Roman" w:eastAsia="宋体" w:cs="Times New Roman"/>
          <w:snapToGrid/>
          <w:color w:val="auto"/>
          <w:sz w:val="24"/>
          <w:szCs w:val="24"/>
          <w:highlight w:val="none"/>
        </w:rPr>
        <w:t>通过线下和线上等相结合的方式开展</w:t>
      </w:r>
      <w:r>
        <w:rPr>
          <w:rFonts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rPr>
        <w:t>智能汽车基础地图数据分类分级规则</w:t>
      </w:r>
      <w:r>
        <w:rPr>
          <w:rFonts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rPr>
        <w:t>技术</w:t>
      </w:r>
      <w:r>
        <w:rPr>
          <w:rFonts w:ascii="Times New Roman" w:hAnsi="Times New Roman" w:eastAsia="宋体" w:cs="Times New Roman"/>
          <w:snapToGrid/>
          <w:color w:val="auto"/>
          <w:sz w:val="24"/>
          <w:szCs w:val="24"/>
          <w:highlight w:val="none"/>
        </w:rPr>
        <w:t>研讨，</w:t>
      </w:r>
      <w:r>
        <w:rPr>
          <w:rFonts w:hint="eastAsia" w:ascii="Times New Roman" w:hAnsi="Times New Roman" w:eastAsia="宋体" w:cs="Times New Roman"/>
          <w:snapToGrid/>
          <w:color w:val="auto"/>
          <w:sz w:val="24"/>
          <w:szCs w:val="24"/>
          <w:highlight w:val="none"/>
        </w:rPr>
        <w:t>初步</w:t>
      </w:r>
      <w:r>
        <w:rPr>
          <w:rFonts w:ascii="Times New Roman" w:hAnsi="Times New Roman" w:eastAsia="宋体" w:cs="Times New Roman"/>
          <w:snapToGrid/>
          <w:color w:val="auto"/>
          <w:sz w:val="24"/>
          <w:szCs w:val="24"/>
          <w:highlight w:val="none"/>
        </w:rPr>
        <w:t>形成</w:t>
      </w:r>
      <w:r>
        <w:rPr>
          <w:rFonts w:hint="eastAsia" w:ascii="Times New Roman" w:hAnsi="Times New Roman" w:eastAsia="宋体" w:cs="Times New Roman"/>
          <w:snapToGrid/>
          <w:color w:val="auto"/>
          <w:sz w:val="24"/>
          <w:szCs w:val="24"/>
          <w:highlight w:val="none"/>
        </w:rPr>
        <w:t>组内阶段性共识版的标准</w:t>
      </w:r>
      <w:r>
        <w:rPr>
          <w:rFonts w:ascii="Times New Roman" w:hAnsi="Times New Roman" w:eastAsia="宋体" w:cs="Times New Roman"/>
          <w:snapToGrid/>
          <w:color w:val="auto"/>
          <w:sz w:val="24"/>
          <w:szCs w:val="24"/>
          <w:highlight w:val="none"/>
        </w:rPr>
        <w:t>草案。</w:t>
      </w:r>
    </w:p>
    <w:p w14:paraId="610BAB75">
      <w:pPr>
        <w:spacing w:line="360" w:lineRule="auto"/>
        <w:ind w:firstLine="480" w:firstLineChars="200"/>
        <w:jc w:val="both"/>
        <w:rPr>
          <w:rFonts w:ascii="宋体" w:hAnsi="宋体" w:eastAsia="宋体" w:cs="宋体"/>
          <w:color w:val="auto"/>
          <w:sz w:val="24"/>
          <w:szCs w:val="24"/>
          <w:highlight w:val="none"/>
        </w:rPr>
      </w:pPr>
      <w:r>
        <w:rPr>
          <w:rFonts w:ascii="Times New Roman" w:hAnsi="Times New Roman" w:eastAsia="宋体" w:cs="Times New Roman"/>
          <w:color w:val="auto"/>
          <w:sz w:val="24"/>
          <w:szCs w:val="24"/>
          <w:highlight w:val="none"/>
        </w:rPr>
        <w:t>202</w:t>
      </w:r>
      <w:r>
        <w:rPr>
          <w:rFonts w:hint="eastAsia" w:ascii="Times New Roman" w:hAnsi="Times New Roman" w:eastAsia="宋体" w:cs="Times New Roman"/>
          <w:color w:val="auto"/>
          <w:sz w:val="24"/>
          <w:szCs w:val="24"/>
          <w:highlight w:val="none"/>
        </w:rPr>
        <w:t>3</w:t>
      </w:r>
      <w:r>
        <w:rPr>
          <w:rFonts w:ascii="Times New Roman" w:hAnsi="Times New Roman" w:eastAsia="宋体" w:cs="Times New Roman"/>
          <w:color w:val="auto"/>
          <w:sz w:val="24"/>
          <w:szCs w:val="24"/>
          <w:highlight w:val="none"/>
        </w:rPr>
        <w:t>年</w:t>
      </w:r>
      <w:r>
        <w:rPr>
          <w:rFonts w:hint="eastAsia" w:ascii="Times New Roman" w:hAnsi="Times New Roman" w:eastAsia="宋体" w:cs="Times New Roman"/>
          <w:color w:val="auto"/>
          <w:sz w:val="24"/>
          <w:szCs w:val="24"/>
          <w:highlight w:val="none"/>
        </w:rPr>
        <w:t>10</w:t>
      </w:r>
      <w:r>
        <w:rPr>
          <w:rFonts w:ascii="Times New Roman" w:hAnsi="Times New Roman" w:eastAsia="宋体" w:cs="Times New Roman"/>
          <w:color w:val="auto"/>
          <w:sz w:val="24"/>
          <w:szCs w:val="24"/>
          <w:highlight w:val="none"/>
        </w:rPr>
        <w:t>月</w:t>
      </w:r>
      <w:r>
        <w:rPr>
          <w:rFonts w:hint="eastAsia" w:ascii="Times New Roman" w:hAnsi="Times New Roman" w:eastAsia="宋体" w:cs="Times New Roman"/>
          <w:color w:val="auto"/>
          <w:sz w:val="24"/>
          <w:szCs w:val="24"/>
          <w:highlight w:val="none"/>
        </w:rPr>
        <w:t>至12月，</w:t>
      </w:r>
      <w:r>
        <w:rPr>
          <w:rFonts w:hint="eastAsia" w:ascii="Times New Roman" w:hAnsi="Times New Roman" w:eastAsia="宋体" w:cs="Times New Roman"/>
          <w:snapToGrid/>
          <w:color w:val="auto"/>
          <w:sz w:val="24"/>
          <w:szCs w:val="24"/>
          <w:highlight w:val="none"/>
        </w:rPr>
        <w:t>根据《智能汽车基础地图标准体系建设指南（2023版）》中“基础通用部分”的有关要求，结合导航电子地图制作测绘资质单位在地图数据管理方面的业务流程和需求特点，工作组对标准草案和立项建议书等材料进行补充完善，并按要求完成自然资源标准制修订系统填报工作。</w:t>
      </w:r>
    </w:p>
    <w:p w14:paraId="61D56C49">
      <w:pPr>
        <w:spacing w:line="360" w:lineRule="auto"/>
        <w:ind w:firstLine="480" w:firstLineChars="200"/>
        <w:jc w:val="both"/>
        <w:rPr>
          <w:rFonts w:hint="eastAsia"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2</w:t>
      </w:r>
      <w:r>
        <w:rPr>
          <w:rFonts w:ascii="Times New Roman" w:hAnsi="Times New Roman" w:eastAsia="宋体" w:cs="Times New Roman"/>
          <w:snapToGrid/>
          <w:color w:val="auto"/>
          <w:sz w:val="24"/>
          <w:szCs w:val="24"/>
          <w:highlight w:val="none"/>
        </w:rPr>
        <w:t>02</w:t>
      </w:r>
      <w:r>
        <w:rPr>
          <w:rFonts w:hint="eastAsia" w:ascii="Times New Roman" w:hAnsi="Times New Roman" w:eastAsia="宋体" w:cs="Times New Roman"/>
          <w:snapToGrid/>
          <w:color w:val="auto"/>
          <w:sz w:val="24"/>
          <w:szCs w:val="24"/>
          <w:highlight w:val="none"/>
        </w:rPr>
        <w:t>4年1月至6月，工作组借助智能网联汽车高精</w:t>
      </w:r>
      <w:r>
        <w:rPr>
          <w:rFonts w:hint="eastAsia" w:ascii="Times New Roman" w:hAnsi="Times New Roman" w:eastAsia="宋体" w:cs="Times New Roman"/>
          <w:snapToGrid/>
          <w:color w:val="auto"/>
          <w:sz w:val="24"/>
          <w:szCs w:val="24"/>
          <w:highlight w:val="none"/>
          <w:lang w:val="en-US" w:eastAsia="zh-CN"/>
        </w:rPr>
        <w:t>度</w:t>
      </w:r>
      <w:r>
        <w:rPr>
          <w:rFonts w:hint="eastAsia" w:ascii="Times New Roman" w:hAnsi="Times New Roman" w:eastAsia="宋体" w:cs="Times New Roman"/>
          <w:snapToGrid/>
          <w:color w:val="auto"/>
          <w:sz w:val="24"/>
          <w:szCs w:val="24"/>
          <w:highlight w:val="none"/>
        </w:rPr>
        <w:t>地图试点应用、车路云一体化试点申报、智能网联汽车基础地图关键技术研究与应用示范、车云协同场景下地理信息数据安全保护与合规应用项目等省部级重点项目申报和实施，走访调研了智能汽车基础地图应用相关测绘资质单位、汽车制造厂商以及示范区技术单位，围绕标准草案的</w:t>
      </w:r>
      <w:r>
        <w:rPr>
          <w:rFonts w:hint="eastAsia" w:ascii="Times New Roman" w:hAnsi="Times New Roman" w:eastAsia="宋体" w:cs="Times New Roman"/>
          <w:snapToGrid/>
          <w:color w:val="auto"/>
          <w:sz w:val="24"/>
          <w:szCs w:val="24"/>
          <w:highlight w:val="none"/>
          <w:lang w:val="en-US" w:eastAsia="zh-CN"/>
        </w:rPr>
        <w:t>分类和</w:t>
      </w:r>
      <w:r>
        <w:rPr>
          <w:rFonts w:hint="eastAsia" w:ascii="Times New Roman" w:hAnsi="Times New Roman" w:eastAsia="宋体" w:cs="Times New Roman"/>
          <w:snapToGrid/>
          <w:color w:val="auto"/>
          <w:sz w:val="24"/>
          <w:szCs w:val="24"/>
          <w:highlight w:val="none"/>
        </w:rPr>
        <w:t>分级体系</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及其对应的</w:t>
      </w:r>
      <w:r>
        <w:rPr>
          <w:rFonts w:hint="eastAsia" w:ascii="Times New Roman" w:hAnsi="Times New Roman" w:eastAsia="宋体" w:cs="Times New Roman"/>
          <w:snapToGrid/>
          <w:color w:val="auto"/>
          <w:sz w:val="24"/>
          <w:szCs w:val="24"/>
          <w:highlight w:val="none"/>
        </w:rPr>
        <w:t>保护</w:t>
      </w:r>
      <w:r>
        <w:rPr>
          <w:rFonts w:hint="eastAsia" w:ascii="Times New Roman" w:hAnsi="Times New Roman" w:eastAsia="宋体" w:cs="Times New Roman"/>
          <w:snapToGrid/>
          <w:color w:val="auto"/>
          <w:sz w:val="24"/>
          <w:szCs w:val="24"/>
          <w:highlight w:val="none"/>
          <w:lang w:val="en-US" w:eastAsia="zh-CN"/>
        </w:rPr>
        <w:t>技术</w:t>
      </w:r>
      <w:r>
        <w:rPr>
          <w:rFonts w:hint="eastAsia" w:ascii="Times New Roman" w:hAnsi="Times New Roman" w:eastAsia="宋体" w:cs="Times New Roman"/>
          <w:snapToGrid/>
          <w:color w:val="auto"/>
          <w:sz w:val="24"/>
          <w:szCs w:val="24"/>
          <w:highlight w:val="none"/>
        </w:rPr>
        <w:t>措施等内容研讨论证，并在会后进行标准草案的迭代与改进。</w:t>
      </w:r>
    </w:p>
    <w:p w14:paraId="5B497E73">
      <w:pPr>
        <w:pStyle w:val="5"/>
        <w:jc w:val="both"/>
        <w:rPr>
          <w:rFonts w:hint="eastAsia"/>
          <w:color w:val="auto"/>
          <w:highlight w:val="none"/>
        </w:rPr>
      </w:pPr>
    </w:p>
    <w:p w14:paraId="5D3191F7">
      <w:pPr>
        <w:pStyle w:val="5"/>
        <w:ind w:firstLine="482" w:firstLineChars="200"/>
        <w:jc w:val="both"/>
        <w:rPr>
          <w:color w:val="auto"/>
          <w:highlight w:val="none"/>
        </w:rPr>
      </w:pPr>
      <w:r>
        <w:rPr>
          <w:rFonts w:hint="eastAsia"/>
          <w:b/>
          <w:bCs/>
          <w:snapToGrid/>
          <w:color w:val="auto"/>
          <w:sz w:val="24"/>
          <w:szCs w:val="28"/>
          <w:highlight w:val="none"/>
        </w:rPr>
        <w:t>2）立项启动</w:t>
      </w:r>
    </w:p>
    <w:p w14:paraId="51B99C40">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2024年7月，自然资源部发布《自然资源部办公厅关于印发2024年度自然资源标准制修订工作计划的通知》（自然资办发〔2024〕36号），将《智能汽车基础地图数据分类分级规则》列入标准制修订计划，标准性质为行业推荐性标准，计划号为202432003。</w:t>
      </w:r>
    </w:p>
    <w:p w14:paraId="58AC3630">
      <w:pPr>
        <w:pStyle w:val="5"/>
        <w:ind w:firstLine="482" w:firstLineChars="200"/>
        <w:jc w:val="both"/>
        <w:rPr>
          <w:rFonts w:hint="eastAsia" w:eastAsia="宋体"/>
          <w:color w:val="auto"/>
          <w:highlight w:val="none"/>
          <w:lang w:val="en-US" w:eastAsia="zh-CN"/>
        </w:rPr>
      </w:pPr>
      <w:r>
        <w:rPr>
          <w:rFonts w:hint="eastAsia"/>
          <w:b/>
          <w:bCs/>
          <w:snapToGrid/>
          <w:color w:val="auto"/>
          <w:sz w:val="24"/>
          <w:szCs w:val="28"/>
          <w:highlight w:val="none"/>
        </w:rPr>
        <w:t>3）起草</w:t>
      </w:r>
      <w:r>
        <w:rPr>
          <w:rFonts w:hint="eastAsia"/>
          <w:b/>
          <w:bCs/>
          <w:snapToGrid/>
          <w:color w:val="auto"/>
          <w:sz w:val="24"/>
          <w:szCs w:val="28"/>
          <w:highlight w:val="none"/>
          <w:lang w:val="en-US" w:eastAsia="zh-CN"/>
        </w:rPr>
        <w:t>阶段</w:t>
      </w:r>
    </w:p>
    <w:p w14:paraId="61A7C1B4">
      <w:pPr>
        <w:spacing w:line="360" w:lineRule="auto"/>
        <w:ind w:firstLine="480" w:firstLineChars="200"/>
        <w:jc w:val="both"/>
        <w:rPr>
          <w:color w:val="auto"/>
          <w:sz w:val="24"/>
          <w:szCs w:val="24"/>
          <w:highlight w:val="none"/>
        </w:rPr>
      </w:pPr>
      <w:r>
        <w:rPr>
          <w:rFonts w:hint="eastAsia" w:ascii="Times New Roman" w:hAnsi="Times New Roman" w:eastAsia="宋体" w:cs="Times New Roman"/>
          <w:snapToGrid/>
          <w:color w:val="auto"/>
          <w:sz w:val="24"/>
          <w:szCs w:val="24"/>
          <w:highlight w:val="none"/>
        </w:rPr>
        <w:t>2024年8月至1</w:t>
      </w:r>
      <w:r>
        <w:rPr>
          <w:rFonts w:hint="eastAsia" w:ascii="Times New Roman" w:hAnsi="Times New Roman" w:eastAsia="宋体" w:cs="Times New Roman"/>
          <w:snapToGrid/>
          <w:color w:val="auto"/>
          <w:sz w:val="24"/>
          <w:szCs w:val="24"/>
          <w:highlight w:val="none"/>
          <w:lang w:val="en-US" w:eastAsia="zh-CN"/>
        </w:rPr>
        <w:t>2</w:t>
      </w:r>
      <w:r>
        <w:rPr>
          <w:rFonts w:hint="eastAsia" w:ascii="Times New Roman" w:hAnsi="Times New Roman" w:eastAsia="宋体" w:cs="Times New Roman"/>
          <w:snapToGrid/>
          <w:color w:val="auto"/>
          <w:sz w:val="24"/>
          <w:szCs w:val="24"/>
          <w:highlight w:val="none"/>
        </w:rPr>
        <w:t>月，标准计划下达后，工作组开展多轮研讨，针对智能汽车基础地图数据分类分级规则相关技术验证和单位内部管理等形成内部意见建议，牵头单位梳理汇总并</w:t>
      </w:r>
      <w:r>
        <w:rPr>
          <w:rFonts w:hint="eastAsia" w:ascii="Times New Roman" w:hAnsi="Times New Roman" w:eastAsia="宋体" w:cs="Times New Roman"/>
          <w:snapToGrid/>
          <w:color w:val="auto"/>
          <w:sz w:val="24"/>
          <w:szCs w:val="24"/>
          <w:highlight w:val="none"/>
          <w:lang w:val="en-US" w:eastAsia="zh-CN"/>
        </w:rPr>
        <w:t>调整标准各章条内容，并结合参与开展的自动驾驶重要数据分类分级工作阶段性成果和经验，做适应性</w:t>
      </w:r>
      <w:r>
        <w:rPr>
          <w:rFonts w:hint="eastAsia" w:ascii="Times New Roman" w:hAnsi="Times New Roman" w:eastAsia="宋体" w:cs="Times New Roman"/>
          <w:snapToGrid/>
          <w:color w:val="auto"/>
          <w:sz w:val="24"/>
          <w:szCs w:val="24"/>
          <w:highlight w:val="none"/>
        </w:rPr>
        <w:t>修改</w:t>
      </w:r>
      <w:r>
        <w:rPr>
          <w:rFonts w:hint="eastAsia" w:ascii="Times New Roman" w:hAnsi="Times New Roman" w:eastAsia="宋体" w:cs="Times New Roman"/>
          <w:snapToGrid/>
          <w:color w:val="auto"/>
          <w:sz w:val="24"/>
          <w:szCs w:val="24"/>
          <w:highlight w:val="none"/>
          <w:lang w:val="en-US" w:eastAsia="zh-CN"/>
        </w:rPr>
        <w:t>和补充</w:t>
      </w:r>
      <w:r>
        <w:rPr>
          <w:rFonts w:hint="eastAsia" w:ascii="Times New Roman" w:hAnsi="Times New Roman" w:eastAsia="宋体" w:cs="Times New Roman"/>
          <w:snapToGrid/>
          <w:color w:val="auto"/>
          <w:sz w:val="24"/>
          <w:szCs w:val="24"/>
          <w:highlight w:val="none"/>
        </w:rPr>
        <w:t>。</w:t>
      </w:r>
    </w:p>
    <w:p w14:paraId="7BBEF04D">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ascii="Times New Roman" w:hAnsi="Times New Roman" w:eastAsia="宋体" w:cs="Times New Roman"/>
          <w:snapToGrid/>
          <w:color w:val="auto"/>
          <w:sz w:val="24"/>
          <w:szCs w:val="24"/>
          <w:highlight w:val="none"/>
        </w:rPr>
        <w:t>202</w:t>
      </w:r>
      <w:r>
        <w:rPr>
          <w:rFonts w:hint="eastAsia" w:ascii="Times New Roman" w:hAnsi="Times New Roman" w:eastAsia="宋体" w:cs="Times New Roman"/>
          <w:snapToGrid/>
          <w:color w:val="auto"/>
          <w:sz w:val="24"/>
          <w:szCs w:val="24"/>
          <w:highlight w:val="none"/>
          <w:lang w:val="en-US" w:eastAsia="zh-CN"/>
        </w:rPr>
        <w:t>5</w:t>
      </w:r>
      <w:r>
        <w:rPr>
          <w:rFonts w:hint="eastAsia" w:ascii="Times New Roman" w:hAnsi="Times New Roman" w:eastAsia="宋体" w:cs="Times New Roman"/>
          <w:snapToGrid/>
          <w:color w:val="auto"/>
          <w:sz w:val="24"/>
          <w:szCs w:val="24"/>
          <w:highlight w:val="none"/>
        </w:rPr>
        <w:t>年</w:t>
      </w:r>
      <w:r>
        <w:rPr>
          <w:rFonts w:ascii="Times New Roman" w:hAnsi="Times New Roman" w:eastAsia="宋体" w:cs="Times New Roman"/>
          <w:snapToGrid/>
          <w:color w:val="auto"/>
          <w:sz w:val="24"/>
          <w:szCs w:val="24"/>
          <w:highlight w:val="none"/>
        </w:rPr>
        <w:t>1</w:t>
      </w:r>
      <w:r>
        <w:rPr>
          <w:rFonts w:hint="eastAsia" w:ascii="Times New Roman" w:hAnsi="Times New Roman" w:eastAsia="宋体" w:cs="Times New Roman"/>
          <w:snapToGrid/>
          <w:color w:val="auto"/>
          <w:sz w:val="24"/>
          <w:szCs w:val="24"/>
          <w:highlight w:val="none"/>
        </w:rPr>
        <w:t>月，工作组</w:t>
      </w:r>
      <w:r>
        <w:rPr>
          <w:rFonts w:hint="eastAsia" w:ascii="Times New Roman" w:hAnsi="Times New Roman" w:eastAsia="宋体" w:cs="Times New Roman"/>
          <w:snapToGrid/>
          <w:color w:val="auto"/>
          <w:sz w:val="24"/>
          <w:szCs w:val="24"/>
          <w:highlight w:val="none"/>
          <w:lang w:val="en-US" w:eastAsia="zh-CN"/>
        </w:rPr>
        <w:t>面向</w:t>
      </w:r>
      <w:r>
        <w:rPr>
          <w:rFonts w:hint="eastAsia" w:ascii="Times New Roman" w:hAnsi="Times New Roman" w:eastAsia="宋体" w:cs="Times New Roman"/>
          <w:snapToGrid/>
          <w:color w:val="auto"/>
          <w:sz w:val="24"/>
          <w:szCs w:val="24"/>
          <w:highlight w:val="none"/>
        </w:rPr>
        <w:t>全国地理信息标准化技术委员会测绘分委会（TC230/SC2）</w:t>
      </w:r>
      <w:r>
        <w:rPr>
          <w:rFonts w:hint="eastAsia" w:ascii="Times New Roman" w:hAnsi="Times New Roman" w:eastAsia="宋体" w:cs="Times New Roman"/>
          <w:snapToGrid/>
          <w:color w:val="auto"/>
          <w:sz w:val="24"/>
          <w:szCs w:val="24"/>
          <w:highlight w:val="none"/>
          <w:lang w:val="en-US" w:eastAsia="zh-CN"/>
        </w:rPr>
        <w:t>单位，包括</w:t>
      </w:r>
      <w:r>
        <w:rPr>
          <w:rFonts w:hint="eastAsia" w:ascii="Times New Roman" w:hAnsi="Times New Roman" w:eastAsia="宋体" w:cs="Times New Roman"/>
          <w:snapToGrid/>
          <w:color w:val="auto"/>
          <w:sz w:val="24"/>
          <w:szCs w:val="24"/>
          <w:highlight w:val="none"/>
        </w:rPr>
        <w:t>国家基础地理信息中心、</w:t>
      </w:r>
      <w:r>
        <w:rPr>
          <w:rFonts w:hint="eastAsia" w:ascii="Times New Roman" w:hAnsi="Times New Roman" w:eastAsia="宋体" w:cs="Times New Roman"/>
          <w:snapToGrid/>
          <w:color w:val="auto"/>
          <w:sz w:val="24"/>
          <w:szCs w:val="24"/>
          <w:highlight w:val="none"/>
          <w:lang w:val="en-US" w:eastAsia="zh-CN"/>
        </w:rPr>
        <w:t>四川测绘地理信息局、武汉大学、中测新图（北京）遥感技术有限责任公司等的</w:t>
      </w:r>
      <w:r>
        <w:rPr>
          <w:rFonts w:hint="eastAsia" w:ascii="Times New Roman" w:hAnsi="Times New Roman" w:eastAsia="宋体" w:cs="Times New Roman"/>
          <w:snapToGrid/>
          <w:color w:val="auto"/>
          <w:sz w:val="24"/>
          <w:szCs w:val="24"/>
          <w:highlight w:val="none"/>
        </w:rPr>
        <w:t>专家</w:t>
      </w:r>
      <w:r>
        <w:rPr>
          <w:rFonts w:hint="eastAsia" w:ascii="Times New Roman" w:hAnsi="Times New Roman" w:eastAsia="宋体" w:cs="Times New Roman"/>
          <w:snapToGrid/>
          <w:color w:val="auto"/>
          <w:sz w:val="24"/>
          <w:szCs w:val="24"/>
          <w:highlight w:val="none"/>
          <w:lang w:val="en-US" w:eastAsia="zh-CN"/>
        </w:rPr>
        <w:t>学者，</w:t>
      </w:r>
      <w:r>
        <w:rPr>
          <w:rFonts w:hint="eastAsia" w:ascii="Times New Roman" w:hAnsi="Times New Roman" w:eastAsia="宋体" w:cs="Times New Roman"/>
          <w:snapToGrid/>
          <w:color w:val="auto"/>
          <w:sz w:val="24"/>
          <w:szCs w:val="24"/>
          <w:highlight w:val="none"/>
        </w:rPr>
        <w:t>对《智能汽车基础地图数据分类分级规则》标准草案及编制说明材料进行</w:t>
      </w:r>
      <w:r>
        <w:rPr>
          <w:rFonts w:hint="eastAsia" w:ascii="Times New Roman" w:hAnsi="Times New Roman" w:eastAsia="宋体" w:cs="Times New Roman"/>
          <w:snapToGrid/>
          <w:color w:val="auto"/>
          <w:sz w:val="24"/>
          <w:szCs w:val="24"/>
          <w:highlight w:val="none"/>
          <w:lang w:val="en-US" w:eastAsia="zh-CN"/>
        </w:rPr>
        <w:t>函审</w:t>
      </w:r>
      <w:r>
        <w:rPr>
          <w:rFonts w:hint="eastAsia" w:ascii="Times New Roman" w:hAnsi="Times New Roman" w:eastAsia="宋体" w:cs="Times New Roman"/>
          <w:snapToGrid/>
          <w:color w:val="auto"/>
          <w:sz w:val="24"/>
          <w:szCs w:val="24"/>
          <w:highlight w:val="none"/>
        </w:rPr>
        <w:t>把关。如图</w:t>
      </w:r>
      <w:r>
        <w:rPr>
          <w:rFonts w:hint="eastAsia" w:ascii="Times New Roman" w:hAnsi="Times New Roman" w:eastAsia="宋体" w:cs="Times New Roman"/>
          <w:snapToGrid/>
          <w:color w:val="auto"/>
          <w:sz w:val="24"/>
          <w:szCs w:val="24"/>
          <w:highlight w:val="none"/>
          <w:lang w:val="en-US" w:eastAsia="zh-CN"/>
        </w:rPr>
        <w:t>1</w:t>
      </w:r>
      <w:r>
        <w:rPr>
          <w:rFonts w:hint="eastAsia" w:ascii="Times New Roman" w:hAnsi="Times New Roman" w:eastAsia="宋体" w:cs="Times New Roman"/>
          <w:snapToGrid/>
          <w:color w:val="auto"/>
          <w:sz w:val="24"/>
          <w:szCs w:val="24"/>
          <w:highlight w:val="none"/>
        </w:rPr>
        <w:t>所示，专家</w:t>
      </w:r>
      <w:r>
        <w:rPr>
          <w:rFonts w:hint="eastAsia" w:ascii="Times New Roman" w:hAnsi="Times New Roman" w:eastAsia="宋体" w:cs="Times New Roman"/>
          <w:snapToGrid/>
          <w:color w:val="auto"/>
          <w:sz w:val="24"/>
          <w:szCs w:val="24"/>
          <w:highlight w:val="none"/>
          <w:lang w:val="en-US" w:eastAsia="zh-CN"/>
        </w:rPr>
        <w:t>们纷纷</w:t>
      </w:r>
      <w:r>
        <w:rPr>
          <w:rFonts w:hint="eastAsia" w:ascii="Times New Roman" w:hAnsi="Times New Roman" w:eastAsia="宋体" w:cs="Times New Roman"/>
          <w:snapToGrid/>
          <w:color w:val="auto"/>
          <w:sz w:val="24"/>
          <w:szCs w:val="24"/>
          <w:highlight w:val="none"/>
        </w:rPr>
        <w:t>从标准格式规范</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总体架构、分类类目</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分级规则、映射关系</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以及同现有相关国家标准和行业标准兼容协调</w:t>
      </w:r>
      <w:r>
        <w:rPr>
          <w:rFonts w:hint="eastAsia" w:ascii="Times New Roman" w:hAnsi="Times New Roman" w:eastAsia="宋体" w:cs="Times New Roman"/>
          <w:snapToGrid/>
          <w:color w:val="auto"/>
          <w:sz w:val="24"/>
          <w:szCs w:val="24"/>
          <w:highlight w:val="none"/>
        </w:rPr>
        <w:t>等方面提出明确的意见建议。</w:t>
      </w:r>
    </w:p>
    <w:p w14:paraId="6715B8F9">
      <w:pPr>
        <w:spacing w:line="360" w:lineRule="auto"/>
        <w:ind w:firstLine="480" w:firstLineChars="200"/>
        <w:jc w:val="both"/>
        <w:rPr>
          <w:rFonts w:hint="eastAsia" w:cs="Times New Roman"/>
          <w:snapToGrid/>
          <w:color w:val="auto"/>
          <w:sz w:val="24"/>
          <w:szCs w:val="28"/>
          <w:highlight w:val="none"/>
        </w:rPr>
      </w:pPr>
      <w:r>
        <w:rPr>
          <w:rFonts w:ascii="Times New Roman" w:hAnsi="Times New Roman" w:eastAsia="宋体" w:cs="Times New Roman"/>
          <w:snapToGrid/>
          <w:color w:val="auto"/>
          <w:sz w:val="24"/>
          <w:szCs w:val="28"/>
          <w:highlight w:val="none"/>
        </w:rPr>
        <w:t>202</w:t>
      </w:r>
      <w:r>
        <w:rPr>
          <w:rFonts w:hint="eastAsia" w:ascii="Times New Roman" w:hAnsi="Times New Roman" w:eastAsia="宋体" w:cs="Times New Roman"/>
          <w:snapToGrid/>
          <w:color w:val="auto"/>
          <w:sz w:val="24"/>
          <w:szCs w:val="28"/>
          <w:highlight w:val="none"/>
          <w:lang w:val="en-US" w:eastAsia="zh-CN"/>
        </w:rPr>
        <w:t>5</w:t>
      </w:r>
      <w:r>
        <w:rPr>
          <w:rFonts w:hint="eastAsia" w:ascii="Times New Roman" w:hAnsi="Times New Roman" w:eastAsia="宋体" w:cs="Times New Roman"/>
          <w:snapToGrid/>
          <w:color w:val="auto"/>
          <w:sz w:val="24"/>
          <w:szCs w:val="28"/>
          <w:highlight w:val="none"/>
        </w:rPr>
        <w:t>年</w:t>
      </w:r>
      <w:r>
        <w:rPr>
          <w:rFonts w:hint="eastAsia" w:ascii="Times New Roman" w:hAnsi="Times New Roman" w:eastAsia="宋体" w:cs="Times New Roman"/>
          <w:snapToGrid/>
          <w:color w:val="auto"/>
          <w:sz w:val="24"/>
          <w:szCs w:val="28"/>
          <w:highlight w:val="none"/>
          <w:lang w:val="en-US" w:eastAsia="zh-CN"/>
        </w:rPr>
        <w:t>2</w:t>
      </w:r>
      <w:r>
        <w:rPr>
          <w:rFonts w:hint="eastAsia" w:ascii="Times New Roman" w:hAnsi="Times New Roman" w:eastAsia="宋体" w:cs="Times New Roman"/>
          <w:snapToGrid/>
          <w:color w:val="auto"/>
          <w:sz w:val="24"/>
          <w:szCs w:val="28"/>
          <w:highlight w:val="none"/>
        </w:rPr>
        <w:t>月</w:t>
      </w:r>
      <w:r>
        <w:rPr>
          <w:rFonts w:hint="eastAsia" w:ascii="Times New Roman" w:hAnsi="Times New Roman" w:eastAsia="宋体" w:cs="Times New Roman"/>
          <w:snapToGrid/>
          <w:color w:val="auto"/>
          <w:sz w:val="24"/>
          <w:szCs w:val="28"/>
          <w:highlight w:val="none"/>
          <w:lang w:val="en-US" w:eastAsia="zh-CN"/>
        </w:rPr>
        <w:t>至3月</w:t>
      </w:r>
      <w:r>
        <w:rPr>
          <w:rFonts w:hint="eastAsia" w:ascii="Times New Roman" w:hAnsi="Times New Roman" w:eastAsia="宋体" w:cs="Times New Roman"/>
          <w:snapToGrid/>
          <w:color w:val="auto"/>
          <w:sz w:val="24"/>
          <w:szCs w:val="28"/>
          <w:highlight w:val="none"/>
        </w:rPr>
        <w:t>，</w:t>
      </w:r>
      <w:r>
        <w:rPr>
          <w:rFonts w:hint="eastAsia" w:cs="Times New Roman"/>
          <w:snapToGrid/>
          <w:color w:val="auto"/>
          <w:sz w:val="24"/>
          <w:szCs w:val="28"/>
          <w:highlight w:val="none"/>
        </w:rPr>
        <w:t>工作组</w:t>
      </w:r>
      <w:r>
        <w:rPr>
          <w:rFonts w:hint="eastAsia" w:ascii="Times New Roman" w:hAnsi="Times New Roman" w:eastAsia="宋体" w:cs="Times New Roman"/>
          <w:snapToGrid/>
          <w:color w:val="auto"/>
          <w:sz w:val="24"/>
          <w:szCs w:val="28"/>
          <w:highlight w:val="none"/>
        </w:rPr>
        <w:t>根据专家预审意见</w:t>
      </w:r>
      <w:r>
        <w:rPr>
          <w:rFonts w:hint="eastAsia" w:cs="Times New Roman"/>
          <w:snapToGrid/>
          <w:color w:val="auto"/>
          <w:sz w:val="24"/>
          <w:szCs w:val="28"/>
          <w:highlight w:val="none"/>
        </w:rPr>
        <w:t>逐条修改及反馈</w:t>
      </w:r>
      <w:r>
        <w:rPr>
          <w:rFonts w:hint="eastAsia" w:eastAsia="宋体" w:cs="Times New Roman"/>
          <w:snapToGrid/>
          <w:color w:val="auto"/>
          <w:sz w:val="24"/>
          <w:szCs w:val="28"/>
          <w:highlight w:val="none"/>
          <w:lang w:eastAsia="zh-CN"/>
        </w:rPr>
        <w:t>，</w:t>
      </w:r>
      <w:r>
        <w:rPr>
          <w:rFonts w:hint="eastAsia" w:eastAsia="宋体" w:cs="Times New Roman"/>
          <w:snapToGrid/>
          <w:color w:val="auto"/>
          <w:sz w:val="24"/>
          <w:szCs w:val="28"/>
          <w:highlight w:val="none"/>
          <w:lang w:val="en-US" w:eastAsia="zh-CN"/>
        </w:rPr>
        <w:t>并于</w:t>
      </w:r>
      <w:r>
        <w:rPr>
          <w:rFonts w:hint="default" w:ascii="Times New Roman" w:hAnsi="Times New Roman" w:eastAsia="宋体" w:cs="Times New Roman"/>
          <w:snapToGrid/>
          <w:color w:val="auto"/>
          <w:sz w:val="24"/>
          <w:szCs w:val="28"/>
          <w:highlight w:val="none"/>
          <w:lang w:val="en-US" w:eastAsia="zh-CN"/>
        </w:rPr>
        <w:t>3月19日至21日</w:t>
      </w:r>
      <w:r>
        <w:rPr>
          <w:rFonts w:hint="eastAsia" w:eastAsia="宋体" w:cs="Times New Roman"/>
          <w:snapToGrid/>
          <w:color w:val="auto"/>
          <w:sz w:val="24"/>
          <w:szCs w:val="28"/>
          <w:highlight w:val="none"/>
          <w:lang w:val="en-US" w:eastAsia="zh-CN"/>
        </w:rPr>
        <w:t>再次定向咨询中汽中心中国汽车标准化研究院和中国电子技术标准化研究院的技术专家</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lang w:val="en-US" w:eastAsia="zh-CN"/>
        </w:rPr>
        <w:t>见图2</w:t>
      </w:r>
      <w:r>
        <w:rPr>
          <w:rFonts w:hint="eastAsia" w:ascii="Times New Roman" w:hAnsi="Times New Roman" w:eastAsia="宋体" w:cs="Times New Roman"/>
          <w:snapToGrid/>
          <w:color w:val="auto"/>
          <w:sz w:val="24"/>
          <w:szCs w:val="28"/>
          <w:highlight w:val="none"/>
          <w:lang w:eastAsia="zh-CN"/>
        </w:rPr>
        <w:t>）</w:t>
      </w:r>
      <w:r>
        <w:rPr>
          <w:rFonts w:hint="eastAsia" w:eastAsia="宋体" w:cs="Times New Roman"/>
          <w:snapToGrid/>
          <w:color w:val="auto"/>
          <w:sz w:val="24"/>
          <w:szCs w:val="28"/>
          <w:highlight w:val="none"/>
          <w:lang w:val="en-US" w:eastAsia="zh-CN"/>
        </w:rPr>
        <w:t>，以确保标准相关行业领域的意见建议融入其中</w:t>
      </w:r>
      <w:r>
        <w:rPr>
          <w:rFonts w:hint="default" w:ascii="Times New Roman" w:hAnsi="Times New Roman" w:eastAsia="宋体" w:cs="Times New Roman"/>
          <w:snapToGrid/>
          <w:color w:val="auto"/>
          <w:sz w:val="24"/>
          <w:szCs w:val="28"/>
          <w:highlight w:val="none"/>
          <w:lang w:eastAsia="zh-CN"/>
        </w:rPr>
        <w:t>。</w:t>
      </w:r>
      <w:r>
        <w:rPr>
          <w:rFonts w:hint="default" w:ascii="Times New Roman" w:hAnsi="Times New Roman" w:eastAsia="宋体" w:cs="Times New Roman"/>
          <w:snapToGrid/>
          <w:color w:val="auto"/>
          <w:sz w:val="24"/>
          <w:szCs w:val="28"/>
          <w:highlight w:val="none"/>
          <w:lang w:val="en-US" w:eastAsia="zh-CN"/>
        </w:rPr>
        <w:t>3月28日，</w:t>
      </w:r>
      <w:r>
        <w:rPr>
          <w:rFonts w:hint="eastAsia" w:ascii="Times New Roman" w:hAnsi="Times New Roman" w:eastAsia="宋体" w:cs="Times New Roman"/>
          <w:snapToGrid/>
          <w:color w:val="auto"/>
          <w:sz w:val="24"/>
          <w:szCs w:val="28"/>
          <w:highlight w:val="none"/>
        </w:rPr>
        <w:t>经</w:t>
      </w:r>
      <w:r>
        <w:rPr>
          <w:rFonts w:hint="eastAsia" w:ascii="Times New Roman" w:hAnsi="Times New Roman" w:eastAsia="宋体" w:cs="Times New Roman"/>
          <w:snapToGrid/>
          <w:color w:val="auto"/>
          <w:sz w:val="24"/>
          <w:szCs w:val="28"/>
          <w:highlight w:val="none"/>
          <w:lang w:val="en-US" w:eastAsia="zh-CN"/>
        </w:rPr>
        <w:t>工作</w:t>
      </w:r>
      <w:r>
        <w:rPr>
          <w:rFonts w:hint="eastAsia" w:ascii="Times New Roman" w:hAnsi="Times New Roman" w:eastAsia="宋体" w:cs="Times New Roman"/>
          <w:snapToGrid/>
          <w:color w:val="auto"/>
          <w:sz w:val="24"/>
          <w:szCs w:val="28"/>
          <w:highlight w:val="none"/>
        </w:rPr>
        <w:t>组内研讨并达成共识，形成《智能汽车基础地图数据分类分级规则》标准征求意见稿</w:t>
      </w:r>
      <w:r>
        <w:rPr>
          <w:rFonts w:hint="eastAsia" w:cs="Times New Roman"/>
          <w:snapToGrid/>
          <w:color w:val="auto"/>
          <w:sz w:val="24"/>
          <w:szCs w:val="28"/>
          <w:highlight w:val="none"/>
        </w:rPr>
        <w:t>及编制说明</w:t>
      </w:r>
      <w:r>
        <w:rPr>
          <w:rFonts w:hint="eastAsia" w:eastAsia="宋体" w:cs="Times New Roman"/>
          <w:snapToGrid/>
          <w:color w:val="auto"/>
          <w:sz w:val="24"/>
          <w:szCs w:val="28"/>
          <w:highlight w:val="none"/>
          <w:lang w:eastAsia="zh-CN"/>
        </w:rPr>
        <w:t>。</w:t>
      </w:r>
    </w:p>
    <w:p w14:paraId="14FEB75E">
      <w:pPr>
        <w:pStyle w:val="5"/>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jc w:val="both"/>
        <w:textAlignment w:val="baseline"/>
        <w:rPr>
          <w:rFonts w:hint="default" w:ascii="Times New Roman" w:hAnsi="Times New Roman" w:eastAsia="宋体" w:cs="Times New Roman"/>
          <w:snapToGrid/>
          <w:color w:val="auto"/>
          <w:sz w:val="24"/>
          <w:szCs w:val="28"/>
          <w:highlight w:val="none"/>
          <w:lang w:val="en-US" w:eastAsia="zh-CN" w:bidi="ar-SA"/>
        </w:rPr>
      </w:pPr>
      <w:r>
        <w:rPr>
          <w:rFonts w:hint="eastAsia" w:ascii="Times New Roman" w:hAnsi="Times New Roman" w:eastAsia="宋体" w:cs="Times New Roman"/>
          <w:snapToGrid/>
          <w:color w:val="auto"/>
          <w:sz w:val="24"/>
          <w:szCs w:val="28"/>
          <w:highlight w:val="none"/>
          <w:lang w:val="en-US" w:eastAsia="zh-CN" w:bidi="ar-SA"/>
        </w:rPr>
        <w:t>2025年</w:t>
      </w:r>
      <w:r>
        <w:rPr>
          <w:rFonts w:hint="eastAsia" w:cs="Times New Roman"/>
          <w:snapToGrid/>
          <w:color w:val="auto"/>
          <w:sz w:val="24"/>
          <w:szCs w:val="28"/>
          <w:highlight w:val="none"/>
          <w:lang w:val="en-US" w:eastAsia="zh-CN" w:bidi="ar-SA"/>
        </w:rPr>
        <w:t>4</w:t>
      </w:r>
      <w:r>
        <w:rPr>
          <w:rFonts w:hint="eastAsia" w:ascii="Times New Roman" w:hAnsi="Times New Roman" w:eastAsia="宋体" w:cs="Times New Roman"/>
          <w:snapToGrid/>
          <w:color w:val="auto"/>
          <w:sz w:val="24"/>
          <w:szCs w:val="28"/>
          <w:highlight w:val="none"/>
          <w:lang w:val="en-US" w:eastAsia="zh-CN" w:bidi="ar-SA"/>
        </w:rPr>
        <w:t>月至</w:t>
      </w:r>
      <w:r>
        <w:rPr>
          <w:rFonts w:hint="eastAsia" w:cs="Times New Roman"/>
          <w:snapToGrid/>
          <w:color w:val="auto"/>
          <w:sz w:val="24"/>
          <w:szCs w:val="28"/>
          <w:highlight w:val="none"/>
          <w:lang w:val="en-US" w:eastAsia="zh-CN" w:bidi="ar-SA"/>
        </w:rPr>
        <w:t>5</w:t>
      </w:r>
      <w:r>
        <w:rPr>
          <w:rFonts w:hint="eastAsia" w:ascii="Times New Roman" w:hAnsi="Times New Roman" w:eastAsia="宋体" w:cs="Times New Roman"/>
          <w:snapToGrid/>
          <w:color w:val="auto"/>
          <w:sz w:val="24"/>
          <w:szCs w:val="28"/>
          <w:highlight w:val="none"/>
          <w:lang w:val="en-US" w:eastAsia="zh-CN" w:bidi="ar-SA"/>
        </w:rPr>
        <w:t>月，工作组</w:t>
      </w:r>
      <w:r>
        <w:rPr>
          <w:rFonts w:hint="eastAsia" w:ascii="Times New Roman" w:hAnsi="Times New Roman" w:eastAsia="宋体" w:cs="Times New Roman"/>
          <w:snapToGrid/>
          <w:color w:val="auto"/>
          <w:sz w:val="24"/>
          <w:szCs w:val="28"/>
          <w:highlight w:val="none"/>
        </w:rPr>
        <w:t>上报TC230/SC2分委会</w:t>
      </w:r>
      <w:r>
        <w:rPr>
          <w:rFonts w:hint="eastAsia"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经分委会主管领导和专家对标准的严格审查</w:t>
      </w:r>
      <w:r>
        <w:rPr>
          <w:rFonts w:hint="eastAsia" w:ascii="Times New Roman" w:hAnsi="Times New Roman" w:eastAsia="宋体" w:cs="Times New Roman"/>
          <w:snapToGrid/>
          <w:color w:val="auto"/>
          <w:sz w:val="24"/>
          <w:szCs w:val="28"/>
          <w:highlight w:val="none"/>
          <w:lang w:val="en-US" w:eastAsia="zh-CN" w:bidi="ar-SA"/>
        </w:rPr>
        <w:t>，</w:t>
      </w:r>
      <w:r>
        <w:rPr>
          <w:rFonts w:hint="eastAsia" w:cs="Times New Roman"/>
          <w:snapToGrid/>
          <w:color w:val="auto"/>
          <w:sz w:val="24"/>
          <w:szCs w:val="28"/>
          <w:highlight w:val="none"/>
          <w:lang w:val="en-US" w:eastAsia="zh-CN" w:bidi="ar-SA"/>
        </w:rPr>
        <w:t>结合自然资源部印发的《地理信息数据分类分级工作指南（试行）》（自然资办发〔2025〕11号），以及自然资源部和工业和信息化部等多部委联合开展的“联网汽车运行及自动驾驶重要数据识别指引”等政策文件的有关精神，梳理本标准与上述文件内容的对应关系，对数据分类和分级章条进行核实与调整。经与指南编制单位多次技术交流与文件对齐后，最终形成并于6月4日正式提交征求意见材料。</w:t>
      </w:r>
    </w:p>
    <w:p w14:paraId="4766242A">
      <w:pPr>
        <w:pStyle w:val="5"/>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2413635" cy="1583055"/>
            <wp:effectExtent l="0" t="0" r="9525" b="1905"/>
            <wp:docPr id="1" name="图片 1" descr="曾衍伟  智能汽车基础地图数据分类分级规则_专家反馈表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曾衍伟  智能汽车基础地图数据分类分级规则_专家反馈表_00"/>
                    <pic:cNvPicPr>
                      <a:picLocks noChangeAspect="1"/>
                    </pic:cNvPicPr>
                  </pic:nvPicPr>
                  <pic:blipFill>
                    <a:blip r:embed="rId6"/>
                    <a:srcRect l="9118" t="11073" r="8287" b="12334"/>
                    <a:stretch>
                      <a:fillRect/>
                    </a:stretch>
                  </pic:blipFill>
                  <pic:spPr>
                    <a:xfrm>
                      <a:off x="0" y="0"/>
                      <a:ext cx="2413635" cy="1583055"/>
                    </a:xfrm>
                    <a:prstGeom prst="rect">
                      <a:avLst/>
                    </a:prstGeom>
                  </pic:spPr>
                </pic:pic>
              </a:graphicData>
            </a:graphic>
          </wp:inline>
        </w:drawing>
      </w:r>
      <w:r>
        <w:rPr>
          <w:rFonts w:hint="eastAsia" w:eastAsia="宋体"/>
          <w:color w:val="auto"/>
          <w:highlight w:val="none"/>
          <w:lang w:eastAsia="zh-CN"/>
        </w:rPr>
        <w:drawing>
          <wp:inline distT="0" distB="0" distL="114300" distR="114300">
            <wp:extent cx="2411730" cy="1583690"/>
            <wp:effectExtent l="0" t="0" r="11430" b="1270"/>
            <wp:docPr id="2" name="图片 2" descr="谢处  智能汽车基础地图数据分类分级规则_专家反馈表_00"/>
            <wp:cNvGraphicFramePr/>
            <a:graphic xmlns:a="http://schemas.openxmlformats.org/drawingml/2006/main">
              <a:graphicData uri="http://schemas.openxmlformats.org/drawingml/2006/picture">
                <pic:pic xmlns:pic="http://schemas.openxmlformats.org/drawingml/2006/picture">
                  <pic:nvPicPr>
                    <pic:cNvPr id="2" name="图片 2" descr="谢处  智能汽车基础地图数据分类分级规则_专家反馈表_00"/>
                    <pic:cNvPicPr/>
                  </pic:nvPicPr>
                  <pic:blipFill>
                    <a:blip r:embed="rId7"/>
                    <a:srcRect l="8986" t="12300" r="8889" b="16763"/>
                    <a:stretch>
                      <a:fillRect/>
                    </a:stretch>
                  </pic:blipFill>
                  <pic:spPr>
                    <a:xfrm>
                      <a:off x="0" y="0"/>
                      <a:ext cx="2411730" cy="1583690"/>
                    </a:xfrm>
                    <a:prstGeom prst="rect">
                      <a:avLst/>
                    </a:prstGeom>
                  </pic:spPr>
                </pic:pic>
              </a:graphicData>
            </a:graphic>
          </wp:inline>
        </w:drawing>
      </w:r>
    </w:p>
    <w:p w14:paraId="1D3EE589">
      <w:pPr>
        <w:jc w:val="center"/>
        <w:rPr>
          <w:rFonts w:hint="eastAsia"/>
          <w:color w:val="auto"/>
          <w:highlight w:val="none"/>
          <w:lang w:eastAsia="zh-CN"/>
        </w:rPr>
      </w:pPr>
      <w:r>
        <w:rPr>
          <w:rFonts w:hint="eastAsia"/>
          <w:color w:val="auto"/>
          <w:highlight w:val="none"/>
          <w:lang w:eastAsia="zh-CN"/>
        </w:rPr>
        <w:drawing>
          <wp:inline distT="0" distB="0" distL="114300" distR="114300">
            <wp:extent cx="2411730" cy="1583690"/>
            <wp:effectExtent l="0" t="0" r="11430" b="1270"/>
            <wp:docPr id="4" name="图片 4" descr="李英成  智能汽车基础地图数据分类分级规则_专家反馈表_00"/>
            <wp:cNvGraphicFramePr/>
            <a:graphic xmlns:a="http://schemas.openxmlformats.org/drawingml/2006/main">
              <a:graphicData uri="http://schemas.openxmlformats.org/drawingml/2006/picture">
                <pic:pic xmlns:pic="http://schemas.openxmlformats.org/drawingml/2006/picture">
                  <pic:nvPicPr>
                    <pic:cNvPr id="4" name="图片 4" descr="李英成  智能汽车基础地图数据分类分级规则_专家反馈表_00"/>
                    <pic:cNvPicPr/>
                  </pic:nvPicPr>
                  <pic:blipFill>
                    <a:blip r:embed="rId8"/>
                    <a:srcRect l="9130" t="10869" r="9179" b="13458"/>
                    <a:stretch>
                      <a:fillRect/>
                    </a:stretch>
                  </pic:blipFill>
                  <pic:spPr>
                    <a:xfrm>
                      <a:off x="0" y="0"/>
                      <a:ext cx="2411730" cy="1583690"/>
                    </a:xfrm>
                    <a:prstGeom prst="rect">
                      <a:avLst/>
                    </a:prstGeom>
                  </pic:spPr>
                </pic:pic>
              </a:graphicData>
            </a:graphic>
          </wp:inline>
        </w:drawing>
      </w:r>
      <w:r>
        <w:rPr>
          <w:rFonts w:hint="eastAsia"/>
          <w:color w:val="auto"/>
          <w:highlight w:val="none"/>
          <w:lang w:val="en-US" w:eastAsia="zh-CN"/>
        </w:rPr>
        <w:t xml:space="preserve"> </w:t>
      </w:r>
      <w:r>
        <w:rPr>
          <w:rFonts w:hint="eastAsia"/>
          <w:color w:val="auto"/>
          <w:highlight w:val="none"/>
          <w:lang w:eastAsia="zh-CN"/>
        </w:rPr>
        <w:drawing>
          <wp:inline distT="0" distB="0" distL="114300" distR="114300">
            <wp:extent cx="2411730" cy="1583690"/>
            <wp:effectExtent l="0" t="0" r="11430" b="1270"/>
            <wp:docPr id="6" name="图片 6" descr="应审  智能汽车基础地图数据分类分级规则_专家反馈表_00"/>
            <wp:cNvGraphicFramePr/>
            <a:graphic xmlns:a="http://schemas.openxmlformats.org/drawingml/2006/main">
              <a:graphicData uri="http://schemas.openxmlformats.org/drawingml/2006/picture">
                <pic:pic xmlns:pic="http://schemas.openxmlformats.org/drawingml/2006/picture">
                  <pic:nvPicPr>
                    <pic:cNvPr id="6" name="图片 6" descr="应审  智能汽车基础地图数据分类分级规则_专家反馈表_00"/>
                    <pic:cNvPicPr/>
                  </pic:nvPicPr>
                  <pic:blipFill>
                    <a:blip r:embed="rId9"/>
                    <a:srcRect l="8950" t="12266" r="9371" b="13629"/>
                    <a:stretch>
                      <a:fillRect/>
                    </a:stretch>
                  </pic:blipFill>
                  <pic:spPr>
                    <a:xfrm>
                      <a:off x="0" y="0"/>
                      <a:ext cx="2411730" cy="1583690"/>
                    </a:xfrm>
                    <a:prstGeom prst="rect">
                      <a:avLst/>
                    </a:prstGeom>
                  </pic:spPr>
                </pic:pic>
              </a:graphicData>
            </a:graphic>
          </wp:inline>
        </w:drawing>
      </w:r>
    </w:p>
    <w:p w14:paraId="7D9E88CB">
      <w:pPr>
        <w:pStyle w:val="5"/>
        <w:jc w:val="center"/>
        <w:rPr>
          <w:rFonts w:hint="eastAsia"/>
          <w:color w:val="auto"/>
          <w:highlight w:val="none"/>
          <w:lang w:eastAsia="zh-CN"/>
        </w:rPr>
      </w:pPr>
      <w:r>
        <w:rPr>
          <w:rFonts w:hint="eastAsia"/>
          <w:color w:val="auto"/>
          <w:highlight w:val="none"/>
          <w:lang w:eastAsia="zh-CN"/>
        </w:rPr>
        <w:drawing>
          <wp:inline distT="0" distB="0" distL="114300" distR="114300">
            <wp:extent cx="1583690" cy="2411730"/>
            <wp:effectExtent l="9525" t="9525" r="22225" b="17145"/>
            <wp:docPr id="7" name="图片 7" descr="智能汽车分类分级意见_张处1227反馈_00"/>
            <wp:cNvGraphicFramePr/>
            <a:graphic xmlns:a="http://schemas.openxmlformats.org/drawingml/2006/main">
              <a:graphicData uri="http://schemas.openxmlformats.org/drawingml/2006/picture">
                <pic:pic xmlns:pic="http://schemas.openxmlformats.org/drawingml/2006/picture">
                  <pic:nvPicPr>
                    <pic:cNvPr id="7" name="图片 7" descr="智能汽车分类分级意见_张处1227反馈_00"/>
                    <pic:cNvPicPr/>
                  </pic:nvPicPr>
                  <pic:blipFill>
                    <a:blip r:embed="rId10"/>
                    <a:srcRect l="487" t="-510" r="433" b="1602"/>
                    <a:stretch>
                      <a:fillRect/>
                    </a:stretch>
                  </pic:blipFill>
                  <pic:spPr>
                    <a:xfrm>
                      <a:off x="0" y="0"/>
                      <a:ext cx="1583690" cy="2411730"/>
                    </a:xfrm>
                    <a:prstGeom prst="rect">
                      <a:avLst/>
                    </a:prstGeom>
                    <a:ln w="3175" cmpd="sng">
                      <a:solidFill>
                        <a:schemeClr val="bg1">
                          <a:lumMod val="75000"/>
                        </a:schemeClr>
                      </a:solidFill>
                      <a:prstDash val="solid"/>
                    </a:ln>
                  </pic:spPr>
                </pic:pic>
              </a:graphicData>
            </a:graphic>
          </wp:inline>
        </w:drawing>
      </w:r>
      <w:r>
        <w:rPr>
          <w:rFonts w:hint="eastAsia"/>
          <w:color w:val="auto"/>
          <w:highlight w:val="none"/>
          <w:lang w:val="en-US" w:eastAsia="zh-CN"/>
        </w:rPr>
        <w:t xml:space="preserve">  </w:t>
      </w:r>
      <w:r>
        <w:rPr>
          <w:rFonts w:hint="eastAsia"/>
          <w:color w:val="auto"/>
          <w:highlight w:val="none"/>
          <w:lang w:eastAsia="zh-CN"/>
        </w:rPr>
        <w:drawing>
          <wp:inline distT="0" distB="0" distL="114300" distR="114300">
            <wp:extent cx="2694305" cy="2411730"/>
            <wp:effectExtent l="9525" t="9525" r="24130" b="17145"/>
            <wp:docPr id="10" name="图片 10" descr="智能汽车基础地图数据分类分级规则_标准草案V24-李英成改_00"/>
            <wp:cNvGraphicFramePr/>
            <a:graphic xmlns:a="http://schemas.openxmlformats.org/drawingml/2006/main">
              <a:graphicData uri="http://schemas.openxmlformats.org/drawingml/2006/picture">
                <pic:pic xmlns:pic="http://schemas.openxmlformats.org/drawingml/2006/picture">
                  <pic:nvPicPr>
                    <pic:cNvPr id="10" name="图片 10" descr="智能汽车基础地图数据分类分级规则_标准草案V24-李英成改_00"/>
                    <pic:cNvPicPr/>
                  </pic:nvPicPr>
                  <pic:blipFill>
                    <a:blip r:embed="rId11"/>
                    <a:stretch>
                      <a:fillRect/>
                    </a:stretch>
                  </pic:blipFill>
                  <pic:spPr>
                    <a:xfrm>
                      <a:off x="0" y="0"/>
                      <a:ext cx="2694305" cy="2411730"/>
                    </a:xfrm>
                    <a:prstGeom prst="rect">
                      <a:avLst/>
                    </a:prstGeom>
                    <a:ln w="3175">
                      <a:solidFill>
                        <a:schemeClr val="bg1">
                          <a:lumMod val="75000"/>
                        </a:schemeClr>
                      </a:solidFill>
                    </a:ln>
                  </pic:spPr>
                </pic:pic>
              </a:graphicData>
            </a:graphic>
          </wp:inline>
        </w:drawing>
      </w:r>
    </w:p>
    <w:p w14:paraId="345842BC">
      <w:pPr>
        <w:pStyle w:val="5"/>
        <w:jc w:val="center"/>
        <w:rPr>
          <w:rFonts w:hint="eastAsia"/>
          <w:b/>
          <w:bCs/>
          <w:snapToGrid/>
          <w:color w:val="auto"/>
          <w:szCs w:val="24"/>
          <w:highlight w:val="none"/>
          <w:lang w:val="en-US" w:eastAsia="zh-CN"/>
        </w:rPr>
      </w:pPr>
      <w:r>
        <w:rPr>
          <w:rFonts w:hint="eastAsia"/>
          <w:b/>
          <w:bCs/>
          <w:snapToGrid/>
          <w:color w:val="auto"/>
          <w:szCs w:val="24"/>
          <w:highlight w:val="none"/>
        </w:rPr>
        <w:t>图</w:t>
      </w:r>
      <w:r>
        <w:rPr>
          <w:rFonts w:hint="eastAsia"/>
          <w:b/>
          <w:bCs/>
          <w:snapToGrid/>
          <w:color w:val="auto"/>
          <w:szCs w:val="24"/>
          <w:highlight w:val="none"/>
          <w:lang w:val="en-US" w:eastAsia="zh-CN"/>
        </w:rPr>
        <w:t>1</w:t>
      </w:r>
      <w:r>
        <w:rPr>
          <w:rFonts w:hint="eastAsia"/>
          <w:b/>
          <w:bCs/>
          <w:snapToGrid/>
          <w:color w:val="auto"/>
          <w:szCs w:val="24"/>
          <w:highlight w:val="none"/>
        </w:rPr>
        <w:t xml:space="preserve"> 专家</w:t>
      </w:r>
      <w:r>
        <w:rPr>
          <w:rFonts w:hint="eastAsia"/>
          <w:b/>
          <w:bCs/>
          <w:snapToGrid/>
          <w:color w:val="auto"/>
          <w:szCs w:val="24"/>
          <w:highlight w:val="none"/>
          <w:lang w:val="en-US" w:eastAsia="zh-CN"/>
        </w:rPr>
        <w:t>函审</w:t>
      </w:r>
      <w:r>
        <w:rPr>
          <w:rFonts w:hint="eastAsia"/>
          <w:b/>
          <w:bCs/>
          <w:snapToGrid/>
          <w:color w:val="auto"/>
          <w:szCs w:val="24"/>
          <w:highlight w:val="none"/>
        </w:rPr>
        <w:t>意见</w:t>
      </w:r>
      <w:r>
        <w:rPr>
          <w:rFonts w:hint="eastAsia"/>
          <w:b/>
          <w:bCs/>
          <w:snapToGrid/>
          <w:color w:val="auto"/>
          <w:szCs w:val="24"/>
          <w:highlight w:val="none"/>
          <w:lang w:val="en-US" w:eastAsia="zh-CN"/>
        </w:rPr>
        <w:t>表</w:t>
      </w:r>
    </w:p>
    <w:p w14:paraId="109C2814">
      <w:pPr>
        <w:jc w:val="center"/>
        <w:rPr>
          <w:rFonts w:hint="eastAsia"/>
          <w:b/>
          <w:bCs/>
          <w:snapToGrid/>
          <w:color w:val="auto"/>
          <w:szCs w:val="24"/>
          <w:highlight w:val="none"/>
          <w:lang w:val="en-US" w:eastAsia="zh-CN"/>
        </w:rPr>
      </w:pPr>
      <w:r>
        <w:rPr>
          <w:rFonts w:hint="eastAsia"/>
          <w:b/>
          <w:bCs/>
          <w:snapToGrid/>
          <w:color w:val="auto"/>
          <w:szCs w:val="24"/>
          <w:highlight w:val="none"/>
          <w:lang w:val="en-US" w:eastAsia="zh-CN"/>
        </w:rPr>
        <w:drawing>
          <wp:inline distT="0" distB="0" distL="114300" distR="114300">
            <wp:extent cx="2411730" cy="1583690"/>
            <wp:effectExtent l="0" t="0" r="11430" b="1270"/>
            <wp:docPr id="5" name="图片 5" descr="张路  智能汽车基础地图数据分类分级规则_专家反馈表_00"/>
            <wp:cNvGraphicFramePr/>
            <a:graphic xmlns:a="http://schemas.openxmlformats.org/drawingml/2006/main">
              <a:graphicData uri="http://schemas.openxmlformats.org/drawingml/2006/picture">
                <pic:pic xmlns:pic="http://schemas.openxmlformats.org/drawingml/2006/picture">
                  <pic:nvPicPr>
                    <pic:cNvPr id="5" name="图片 5" descr="张路  智能汽车基础地图数据分类分级规则_专家反馈表_00"/>
                    <pic:cNvPicPr/>
                  </pic:nvPicPr>
                  <pic:blipFill>
                    <a:blip r:embed="rId12"/>
                    <a:srcRect l="9094" t="11028" r="8986" b="12057"/>
                    <a:stretch>
                      <a:fillRect/>
                    </a:stretch>
                  </pic:blipFill>
                  <pic:spPr>
                    <a:xfrm>
                      <a:off x="0" y="0"/>
                      <a:ext cx="2411730" cy="1583690"/>
                    </a:xfrm>
                    <a:prstGeom prst="rect">
                      <a:avLst/>
                    </a:prstGeom>
                  </pic:spPr>
                </pic:pic>
              </a:graphicData>
            </a:graphic>
          </wp:inline>
        </w:drawing>
      </w:r>
      <w:r>
        <w:rPr>
          <w:rFonts w:hint="eastAsia"/>
          <w:b/>
          <w:bCs/>
          <w:snapToGrid/>
          <w:color w:val="auto"/>
          <w:szCs w:val="24"/>
          <w:highlight w:val="none"/>
          <w:lang w:val="en-US" w:eastAsia="zh-CN"/>
        </w:rPr>
        <w:t xml:space="preserve"> </w:t>
      </w:r>
      <w:r>
        <w:rPr>
          <w:rFonts w:hint="eastAsia"/>
          <w:b/>
          <w:bCs/>
          <w:snapToGrid/>
          <w:color w:val="auto"/>
          <w:szCs w:val="24"/>
          <w:highlight w:val="none"/>
          <w:lang w:val="en-US" w:eastAsia="zh-CN"/>
        </w:rPr>
        <w:drawing>
          <wp:inline distT="0" distB="0" distL="114300" distR="114300">
            <wp:extent cx="2411730" cy="1583690"/>
            <wp:effectExtent l="0" t="0" r="11430" b="1270"/>
            <wp:docPr id="11" name="图片 11" descr="张骁 智能汽车基础地图数据分类分级规则_专家反馈表_00"/>
            <wp:cNvGraphicFramePr/>
            <a:graphic xmlns:a="http://schemas.openxmlformats.org/drawingml/2006/main">
              <a:graphicData uri="http://schemas.openxmlformats.org/drawingml/2006/picture">
                <pic:pic xmlns:pic="http://schemas.openxmlformats.org/drawingml/2006/picture">
                  <pic:nvPicPr>
                    <pic:cNvPr id="11" name="图片 11" descr="张骁 智能汽车基础地图数据分类分级规则_专家反馈表_00"/>
                    <pic:cNvPicPr/>
                  </pic:nvPicPr>
                  <pic:blipFill>
                    <a:blip r:embed="rId13"/>
                    <a:srcRect l="8962" t="11533" r="9046" b="16525"/>
                    <a:stretch>
                      <a:fillRect/>
                    </a:stretch>
                  </pic:blipFill>
                  <pic:spPr>
                    <a:xfrm>
                      <a:off x="0" y="0"/>
                      <a:ext cx="2411730" cy="1583690"/>
                    </a:xfrm>
                    <a:prstGeom prst="rect">
                      <a:avLst/>
                    </a:prstGeom>
                  </pic:spPr>
                </pic:pic>
              </a:graphicData>
            </a:graphic>
          </wp:inline>
        </w:drawing>
      </w:r>
    </w:p>
    <w:p w14:paraId="7A9A4772">
      <w:pPr>
        <w:pStyle w:val="5"/>
        <w:jc w:val="center"/>
        <w:rPr>
          <w:rFonts w:hint="eastAsia"/>
          <w:b/>
          <w:bCs/>
          <w:snapToGrid/>
          <w:color w:val="auto"/>
          <w:szCs w:val="24"/>
          <w:highlight w:val="none"/>
          <w:lang w:val="en-US" w:eastAsia="zh-CN"/>
        </w:rPr>
      </w:pPr>
      <w:r>
        <w:rPr>
          <w:rFonts w:hint="eastAsia"/>
          <w:b/>
          <w:bCs/>
          <w:snapToGrid/>
          <w:color w:val="auto"/>
          <w:szCs w:val="24"/>
          <w:highlight w:val="none"/>
        </w:rPr>
        <w:t>图</w:t>
      </w:r>
      <w:r>
        <w:rPr>
          <w:rFonts w:hint="eastAsia"/>
          <w:b/>
          <w:bCs/>
          <w:snapToGrid/>
          <w:color w:val="auto"/>
          <w:szCs w:val="24"/>
          <w:highlight w:val="none"/>
          <w:lang w:val="en-US" w:eastAsia="zh-CN"/>
        </w:rPr>
        <w:t>2</w:t>
      </w:r>
      <w:r>
        <w:rPr>
          <w:rFonts w:hint="eastAsia"/>
          <w:b/>
          <w:bCs/>
          <w:snapToGrid/>
          <w:color w:val="auto"/>
          <w:szCs w:val="24"/>
          <w:highlight w:val="none"/>
        </w:rPr>
        <w:t xml:space="preserve"> 专家</w:t>
      </w:r>
      <w:r>
        <w:rPr>
          <w:rFonts w:hint="eastAsia"/>
          <w:b/>
          <w:bCs/>
          <w:snapToGrid/>
          <w:color w:val="auto"/>
          <w:szCs w:val="24"/>
          <w:highlight w:val="none"/>
          <w:lang w:val="en-US" w:eastAsia="zh-CN"/>
        </w:rPr>
        <w:t>定向咨询表</w:t>
      </w:r>
    </w:p>
    <w:p w14:paraId="15CBF531">
      <w:pPr>
        <w:jc w:val="center"/>
        <w:rPr>
          <w:rFonts w:hint="eastAsia"/>
          <w:b/>
          <w:bCs/>
          <w:snapToGrid/>
          <w:color w:val="auto"/>
          <w:szCs w:val="24"/>
          <w:highlight w:val="none"/>
          <w:lang w:val="en-US" w:eastAsia="zh-CN"/>
        </w:rPr>
      </w:pPr>
      <w:r>
        <w:rPr>
          <w:color w:val="auto"/>
          <w:highlight w:val="none"/>
        </w:rPr>
        <w:drawing>
          <wp:inline distT="0" distB="0" distL="114300" distR="114300">
            <wp:extent cx="3347720" cy="2510790"/>
            <wp:effectExtent l="0" t="0" r="5080" b="381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3347720" cy="2510790"/>
                    </a:xfrm>
                    <a:prstGeom prst="rect">
                      <a:avLst/>
                    </a:prstGeom>
                    <a:noFill/>
                    <a:ln>
                      <a:noFill/>
                    </a:ln>
                  </pic:spPr>
                </pic:pic>
              </a:graphicData>
            </a:graphic>
          </wp:inline>
        </w:drawing>
      </w:r>
    </w:p>
    <w:p w14:paraId="38BA612A">
      <w:pPr>
        <w:pStyle w:val="5"/>
        <w:jc w:val="center"/>
        <w:rPr>
          <w:rFonts w:hint="default"/>
          <w:color w:val="auto"/>
          <w:highlight w:val="none"/>
          <w:lang w:val="en-US" w:eastAsia="zh-CN"/>
        </w:rPr>
      </w:pPr>
      <w:r>
        <w:rPr>
          <w:rFonts w:hint="eastAsia"/>
          <w:b/>
          <w:bCs/>
          <w:snapToGrid/>
          <w:color w:val="auto"/>
          <w:szCs w:val="24"/>
          <w:highlight w:val="none"/>
        </w:rPr>
        <w:t>图</w:t>
      </w:r>
      <w:r>
        <w:rPr>
          <w:rFonts w:hint="eastAsia"/>
          <w:b/>
          <w:bCs/>
          <w:snapToGrid/>
          <w:color w:val="auto"/>
          <w:szCs w:val="24"/>
          <w:highlight w:val="none"/>
          <w:lang w:val="en-US" w:eastAsia="zh-CN"/>
        </w:rPr>
        <w:t>3</w:t>
      </w:r>
      <w:r>
        <w:rPr>
          <w:rFonts w:hint="eastAsia"/>
          <w:b/>
          <w:bCs/>
          <w:snapToGrid/>
          <w:color w:val="auto"/>
          <w:szCs w:val="24"/>
          <w:highlight w:val="none"/>
        </w:rPr>
        <w:t xml:space="preserve"> </w:t>
      </w:r>
      <w:r>
        <w:rPr>
          <w:rFonts w:hint="eastAsia"/>
          <w:b/>
          <w:bCs/>
          <w:snapToGrid/>
          <w:color w:val="auto"/>
          <w:szCs w:val="24"/>
          <w:highlight w:val="none"/>
          <w:lang w:val="en-US" w:eastAsia="zh-CN"/>
        </w:rPr>
        <w:t>指南交流与标准研讨</w:t>
      </w:r>
    </w:p>
    <w:p w14:paraId="39050588">
      <w:pPr>
        <w:pStyle w:val="5"/>
        <w:ind w:firstLine="482" w:firstLineChars="200"/>
        <w:jc w:val="both"/>
        <w:rPr>
          <w:snapToGrid/>
          <w:color w:val="auto"/>
          <w:sz w:val="24"/>
          <w:szCs w:val="28"/>
          <w:highlight w:val="none"/>
        </w:rPr>
      </w:pPr>
      <w:r>
        <w:rPr>
          <w:rFonts w:hint="eastAsia"/>
          <w:b/>
          <w:bCs/>
          <w:snapToGrid/>
          <w:color w:val="auto"/>
          <w:sz w:val="24"/>
          <w:szCs w:val="28"/>
          <w:highlight w:val="none"/>
        </w:rPr>
        <w:t>4）征求意见</w:t>
      </w:r>
    </w:p>
    <w:p w14:paraId="10B20714">
      <w:pPr>
        <w:spacing w:line="360" w:lineRule="auto"/>
        <w:ind w:firstLine="480" w:firstLineChars="200"/>
        <w:jc w:val="both"/>
        <w:rPr>
          <w:rFonts w:ascii="Times New Roman" w:hAnsi="Times New Roman" w:eastAsia="宋体" w:cs="Times New Roman"/>
          <w:color w:val="auto"/>
          <w:sz w:val="24"/>
          <w:szCs w:val="24"/>
          <w:highlight w:val="none"/>
        </w:rPr>
      </w:pPr>
      <w:r>
        <w:rPr>
          <w:rFonts w:ascii="Times New Roman" w:hAnsi="Times New Roman" w:eastAsia="宋体" w:cs="Times New Roman"/>
          <w:color w:val="auto"/>
          <w:sz w:val="24"/>
          <w:szCs w:val="24"/>
          <w:highlight w:val="none"/>
        </w:rPr>
        <w:t>（待补充征求意见稿形成过程）</w:t>
      </w:r>
    </w:p>
    <w:p w14:paraId="18C6477C">
      <w:pPr>
        <w:numPr>
          <w:ilvl w:val="0"/>
          <w:numId w:val="1"/>
        </w:numPr>
        <w:spacing w:line="360" w:lineRule="auto"/>
        <w:jc w:val="both"/>
        <w:outlineLvl w:val="0"/>
        <w:rPr>
          <w:rFonts w:ascii="Times New Roman" w:hAnsi="Times New Roman" w:eastAsia="宋体" w:cs="Times New Roman"/>
          <w:b/>
          <w:bCs/>
          <w:color w:val="auto"/>
          <w:sz w:val="24"/>
          <w:szCs w:val="28"/>
          <w:highlight w:val="none"/>
        </w:rPr>
      </w:pPr>
      <w:r>
        <w:rPr>
          <w:rFonts w:hint="eastAsia" w:ascii="Times New Roman" w:hAnsi="Times New Roman" w:eastAsia="宋体" w:cs="Times New Roman"/>
          <w:b/>
          <w:bCs/>
          <w:color w:val="auto"/>
          <w:sz w:val="24"/>
          <w:szCs w:val="28"/>
          <w:highlight w:val="none"/>
        </w:rPr>
        <w:t xml:space="preserve"> </w:t>
      </w:r>
      <w:bookmarkStart w:id="15" w:name="_Toc11389"/>
      <w:r>
        <w:rPr>
          <w:rFonts w:hint="eastAsia" w:ascii="Times New Roman" w:hAnsi="Times New Roman" w:eastAsia="宋体" w:cs="Times New Roman"/>
          <w:b/>
          <w:bCs/>
          <w:color w:val="auto"/>
          <w:sz w:val="24"/>
          <w:szCs w:val="28"/>
          <w:highlight w:val="none"/>
        </w:rPr>
        <w:t>标准编制原则和确定标准主要内容</w:t>
      </w:r>
      <w:bookmarkEnd w:id="15"/>
    </w:p>
    <w:p w14:paraId="09B122E3">
      <w:pPr>
        <w:numPr>
          <w:ilvl w:val="0"/>
          <w:numId w:val="3"/>
        </w:numPr>
        <w:spacing w:line="360" w:lineRule="auto"/>
        <w:jc w:val="both"/>
        <w:outlineLvl w:val="1"/>
        <w:rPr>
          <w:rFonts w:ascii="Times New Roman" w:hAnsi="Times New Roman" w:eastAsia="宋体" w:cs="Times New Roman"/>
          <w:b/>
          <w:bCs/>
          <w:color w:val="auto"/>
          <w:sz w:val="24"/>
          <w:szCs w:val="28"/>
          <w:highlight w:val="none"/>
        </w:rPr>
      </w:pPr>
      <w:bookmarkStart w:id="16" w:name="_Toc148984863"/>
      <w:bookmarkStart w:id="17" w:name="_Toc148619396"/>
      <w:bookmarkStart w:id="18" w:name="_Toc26538"/>
      <w:r>
        <w:rPr>
          <w:rFonts w:hint="eastAsia" w:ascii="Times New Roman" w:hAnsi="Times New Roman" w:eastAsia="宋体" w:cs="Times New Roman"/>
          <w:b/>
          <w:bCs/>
          <w:color w:val="auto"/>
          <w:sz w:val="24"/>
          <w:szCs w:val="28"/>
          <w:highlight w:val="none"/>
        </w:rPr>
        <w:t>编制原则</w:t>
      </w:r>
      <w:bookmarkEnd w:id="16"/>
      <w:bookmarkEnd w:id="17"/>
      <w:bookmarkEnd w:id="18"/>
    </w:p>
    <w:p w14:paraId="6B9412D6">
      <w:pPr>
        <w:spacing w:line="360" w:lineRule="auto"/>
        <w:ind w:firstLine="480" w:firstLineChars="200"/>
        <w:jc w:val="both"/>
        <w:rPr>
          <w:rFonts w:hint="eastAsia"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本文件根据《</w:t>
      </w:r>
      <w:r>
        <w:rPr>
          <w:rFonts w:hint="eastAsia" w:ascii="Times New Roman" w:hAnsi="Times New Roman" w:eastAsia="宋体" w:cs="Times New Roman"/>
          <w:snapToGrid/>
          <w:color w:val="auto"/>
          <w:sz w:val="24"/>
          <w:szCs w:val="24"/>
          <w:highlight w:val="none"/>
          <w:lang w:eastAsia="zh-CN"/>
        </w:rPr>
        <w:t>中华人民共和国标准化法</w:t>
      </w:r>
      <w:r>
        <w:rPr>
          <w:rFonts w:hint="eastAsia" w:ascii="Times New Roman" w:hAnsi="Times New Roman" w:eastAsia="宋体" w:cs="Times New Roman"/>
          <w:snapToGrid/>
          <w:color w:val="auto"/>
          <w:sz w:val="24"/>
          <w:szCs w:val="24"/>
          <w:highlight w:val="none"/>
        </w:rPr>
        <w:t>》《标准化工作导则第</w:t>
      </w:r>
      <w:r>
        <w:rPr>
          <w:rFonts w:ascii="Times New Roman" w:hAnsi="Times New Roman" w:eastAsia="宋体" w:cs="Times New Roman"/>
          <w:snapToGrid/>
          <w:color w:val="auto"/>
          <w:sz w:val="24"/>
          <w:szCs w:val="24"/>
          <w:highlight w:val="none"/>
        </w:rPr>
        <w:t>1</w:t>
      </w:r>
      <w:r>
        <w:rPr>
          <w:rFonts w:hint="eastAsia" w:ascii="Times New Roman" w:hAnsi="Times New Roman" w:eastAsia="宋体" w:cs="Times New Roman"/>
          <w:snapToGrid/>
          <w:color w:val="auto"/>
          <w:sz w:val="24"/>
          <w:szCs w:val="24"/>
          <w:highlight w:val="none"/>
        </w:rPr>
        <w:t>部分：标准化文件的结构和起草规则》（</w:t>
      </w:r>
      <w:r>
        <w:rPr>
          <w:rFonts w:ascii="Times New Roman" w:hAnsi="Times New Roman" w:eastAsia="宋体" w:cs="Times New Roman"/>
          <w:snapToGrid/>
          <w:color w:val="auto"/>
          <w:sz w:val="24"/>
          <w:szCs w:val="24"/>
          <w:highlight w:val="none"/>
        </w:rPr>
        <w:t>GB/T 1.1</w:t>
      </w:r>
      <w:r>
        <w:rPr>
          <w:rFonts w:hint="eastAsia" w:ascii="Times New Roman" w:hAnsi="Times New Roman" w:eastAsia="宋体" w:cs="Times New Roman"/>
          <w:snapToGrid/>
          <w:color w:val="auto"/>
          <w:sz w:val="24"/>
          <w:szCs w:val="24"/>
          <w:highlight w:val="none"/>
        </w:rPr>
        <w:t>—</w:t>
      </w:r>
      <w:r>
        <w:rPr>
          <w:rFonts w:ascii="Times New Roman" w:hAnsi="Times New Roman" w:eastAsia="宋体" w:cs="Times New Roman"/>
          <w:snapToGrid/>
          <w:color w:val="auto"/>
          <w:sz w:val="24"/>
          <w:szCs w:val="24"/>
          <w:highlight w:val="none"/>
        </w:rPr>
        <w:t>2020</w:t>
      </w:r>
      <w:r>
        <w:rPr>
          <w:rFonts w:hint="eastAsia" w:ascii="Times New Roman" w:hAnsi="Times New Roman" w:eastAsia="宋体" w:cs="Times New Roman"/>
          <w:snapToGrid/>
          <w:color w:val="auto"/>
          <w:sz w:val="24"/>
          <w:szCs w:val="24"/>
          <w:highlight w:val="none"/>
        </w:rPr>
        <w:t>）进行编制。在此基础上，主要遵循以下原则：</w:t>
      </w:r>
    </w:p>
    <w:p w14:paraId="2AA39AAC">
      <w:pPr>
        <w:numPr>
          <w:ilvl w:val="0"/>
          <w:numId w:val="4"/>
        </w:numPr>
        <w:spacing w:line="360" w:lineRule="auto"/>
        <w:ind w:firstLine="480" w:firstLineChars="200"/>
        <w:jc w:val="both"/>
        <w:rPr>
          <w:rFonts w:ascii="Times New Roman" w:hAnsi="Times New Roman" w:eastAsia="宋体" w:cs="Times New Roman"/>
          <w:bCs/>
          <w:color w:val="auto"/>
          <w:sz w:val="24"/>
          <w:szCs w:val="24"/>
          <w:highlight w:val="none"/>
        </w:rPr>
      </w:pPr>
      <w:r>
        <w:rPr>
          <w:rFonts w:hint="eastAsia" w:ascii="Times New Roman" w:hAnsi="Times New Roman" w:eastAsia="宋体" w:cs="Times New Roman"/>
          <w:bCs/>
          <w:color w:val="auto"/>
          <w:sz w:val="24"/>
          <w:szCs w:val="24"/>
          <w:highlight w:val="none"/>
        </w:rPr>
        <w:t>科学性原则</w:t>
      </w:r>
    </w:p>
    <w:p w14:paraId="617186EF">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hint="eastAsia" w:ascii="Times New Roman" w:hAnsi="Times New Roman" w:eastAsia="宋体" w:cs="Times New Roman"/>
          <w:color w:val="auto"/>
          <w:sz w:val="24"/>
          <w:szCs w:val="24"/>
          <w:highlight w:val="none"/>
        </w:rPr>
        <w:t>本文件规定</w:t>
      </w:r>
      <w:r>
        <w:rPr>
          <w:rFonts w:ascii="Times New Roman" w:hAnsi="Times New Roman" w:eastAsia="宋体" w:cs="Times New Roman"/>
          <w:color w:val="auto"/>
          <w:sz w:val="24"/>
          <w:szCs w:val="24"/>
          <w:highlight w:val="none"/>
        </w:rPr>
        <w:t>的</w:t>
      </w:r>
      <w:r>
        <w:rPr>
          <w:rFonts w:hint="eastAsia" w:ascii="Times New Roman" w:hAnsi="Times New Roman" w:eastAsia="宋体" w:cs="Times New Roman"/>
          <w:color w:val="auto"/>
          <w:sz w:val="24"/>
          <w:szCs w:val="24"/>
          <w:highlight w:val="none"/>
          <w:lang w:val="en-US" w:eastAsia="zh-CN"/>
        </w:rPr>
        <w:t>智能汽车基础地图数据分类分级</w:t>
      </w:r>
      <w:r>
        <w:rPr>
          <w:rFonts w:hint="eastAsia" w:ascii="Times New Roman" w:hAnsi="Times New Roman" w:eastAsia="宋体" w:cs="Times New Roman"/>
          <w:color w:val="auto"/>
          <w:sz w:val="24"/>
          <w:szCs w:val="24"/>
          <w:highlight w:val="none"/>
        </w:rPr>
        <w:t>，</w:t>
      </w:r>
      <w:r>
        <w:rPr>
          <w:rFonts w:hint="eastAsia" w:ascii="Times New Roman" w:hAnsi="Times New Roman" w:eastAsia="宋体" w:cs="Times New Roman"/>
          <w:color w:val="auto"/>
          <w:sz w:val="24"/>
          <w:szCs w:val="24"/>
          <w:highlight w:val="none"/>
          <w:lang w:val="en-US" w:eastAsia="zh-CN"/>
        </w:rPr>
        <w:t>参照了国家数据分类分级的通用规则，</w:t>
      </w:r>
      <w:r>
        <w:rPr>
          <w:rFonts w:hint="eastAsia" w:ascii="Times New Roman" w:hAnsi="Times New Roman" w:eastAsia="宋体" w:cs="Times New Roman"/>
          <w:color w:val="auto"/>
          <w:sz w:val="24"/>
          <w:szCs w:val="24"/>
          <w:highlight w:val="none"/>
        </w:rPr>
        <w:t>紧跟</w:t>
      </w:r>
      <w:r>
        <w:rPr>
          <w:rFonts w:ascii="Times New Roman" w:hAnsi="Times New Roman" w:eastAsia="宋体" w:cs="Times New Roman"/>
          <w:color w:val="auto"/>
          <w:sz w:val="24"/>
          <w:szCs w:val="24"/>
          <w:highlight w:val="none"/>
        </w:rPr>
        <w:t>国内</w:t>
      </w:r>
      <w:r>
        <w:rPr>
          <w:rFonts w:hint="eastAsia" w:ascii="Times New Roman" w:hAnsi="Times New Roman" w:eastAsia="宋体" w:cs="Times New Roman"/>
          <w:color w:val="auto"/>
          <w:sz w:val="24"/>
          <w:szCs w:val="24"/>
          <w:highlight w:val="none"/>
        </w:rPr>
        <w:t>智能汽车基础地图技术及产业发展趋势，充分</w:t>
      </w:r>
      <w:r>
        <w:rPr>
          <w:rFonts w:ascii="Times New Roman" w:hAnsi="Times New Roman" w:eastAsia="宋体" w:cs="Times New Roman"/>
          <w:color w:val="auto"/>
          <w:sz w:val="24"/>
          <w:szCs w:val="24"/>
          <w:highlight w:val="none"/>
        </w:rPr>
        <w:t>考虑国内现有</w:t>
      </w:r>
      <w:r>
        <w:rPr>
          <w:rFonts w:hint="eastAsia" w:ascii="Times New Roman" w:hAnsi="Times New Roman" w:eastAsia="宋体" w:cs="Times New Roman"/>
          <w:color w:val="auto"/>
          <w:sz w:val="24"/>
          <w:szCs w:val="24"/>
          <w:highlight w:val="none"/>
        </w:rPr>
        <w:t>智能汽车基础地图</w:t>
      </w:r>
      <w:r>
        <w:rPr>
          <w:rFonts w:ascii="Times New Roman" w:hAnsi="Times New Roman" w:eastAsia="宋体" w:cs="Times New Roman"/>
          <w:color w:val="auto"/>
          <w:sz w:val="24"/>
          <w:szCs w:val="24"/>
          <w:highlight w:val="none"/>
        </w:rPr>
        <w:t>相关</w:t>
      </w:r>
      <w:r>
        <w:rPr>
          <w:rFonts w:hint="eastAsia" w:ascii="Times New Roman" w:hAnsi="Times New Roman" w:eastAsia="宋体" w:cs="Times New Roman"/>
          <w:color w:val="auto"/>
          <w:sz w:val="24"/>
          <w:szCs w:val="24"/>
          <w:highlight w:val="none"/>
        </w:rPr>
        <w:t>现行</w:t>
      </w:r>
      <w:r>
        <w:rPr>
          <w:rFonts w:ascii="Times New Roman" w:hAnsi="Times New Roman" w:eastAsia="宋体" w:cs="Times New Roman"/>
          <w:color w:val="auto"/>
          <w:sz w:val="24"/>
          <w:szCs w:val="24"/>
          <w:highlight w:val="none"/>
        </w:rPr>
        <w:t>标准</w:t>
      </w:r>
      <w:r>
        <w:rPr>
          <w:rFonts w:hint="eastAsia" w:ascii="Times New Roman" w:hAnsi="Times New Roman" w:eastAsia="宋体" w:cs="Times New Roman"/>
          <w:color w:val="auto"/>
          <w:sz w:val="24"/>
          <w:szCs w:val="24"/>
          <w:highlight w:val="none"/>
        </w:rPr>
        <w:t>和在研标准间</w:t>
      </w:r>
      <w:r>
        <w:rPr>
          <w:rFonts w:ascii="Times New Roman" w:hAnsi="Times New Roman" w:eastAsia="宋体" w:cs="Times New Roman"/>
          <w:color w:val="auto"/>
          <w:sz w:val="24"/>
          <w:szCs w:val="24"/>
          <w:highlight w:val="none"/>
        </w:rPr>
        <w:t>的统一和协调</w:t>
      </w:r>
      <w:r>
        <w:rPr>
          <w:rFonts w:hint="eastAsia" w:ascii="Times New Roman" w:hAnsi="Times New Roman" w:eastAsia="宋体" w:cs="Times New Roman"/>
          <w:color w:val="auto"/>
          <w:sz w:val="24"/>
          <w:szCs w:val="24"/>
          <w:highlight w:val="none"/>
        </w:rPr>
        <w:t>，并有效</w:t>
      </w:r>
      <w:r>
        <w:rPr>
          <w:rFonts w:hint="eastAsia" w:ascii="Times New Roman" w:hAnsi="Times New Roman" w:eastAsia="宋体" w:cs="Times New Roman"/>
          <w:color w:val="auto"/>
          <w:sz w:val="24"/>
          <w:szCs w:val="24"/>
          <w:highlight w:val="none"/>
          <w:lang w:val="en-US" w:eastAsia="zh-CN"/>
        </w:rPr>
        <w:t>契合地理信息数据分类分级、智能网联汽车时空数据以及导航电子地图等自然资源主管部门的工作重点</w:t>
      </w:r>
      <w:r>
        <w:rPr>
          <w:rFonts w:hint="eastAsia" w:ascii="Times New Roman" w:hAnsi="Times New Roman" w:eastAsia="宋体" w:cs="Times New Roman"/>
          <w:color w:val="auto"/>
          <w:sz w:val="24"/>
          <w:szCs w:val="24"/>
          <w:highlight w:val="none"/>
        </w:rPr>
        <w:t>。标准技术内容贴合导航电子地图制作测绘资质单位和汽车制造企业相关应用</w:t>
      </w:r>
      <w:r>
        <w:rPr>
          <w:rFonts w:hint="eastAsia" w:ascii="Times New Roman" w:hAnsi="Times New Roman" w:eastAsia="宋体" w:cs="Times New Roman"/>
          <w:color w:val="auto"/>
          <w:sz w:val="24"/>
          <w:szCs w:val="24"/>
          <w:highlight w:val="none"/>
          <w:lang w:val="en-US" w:eastAsia="zh-CN"/>
        </w:rPr>
        <w:t>服务场景的业务特点</w:t>
      </w:r>
      <w:r>
        <w:rPr>
          <w:rFonts w:hint="eastAsia" w:ascii="Times New Roman" w:hAnsi="Times New Roman" w:eastAsia="宋体" w:cs="Times New Roman"/>
          <w:color w:val="auto"/>
          <w:sz w:val="24"/>
          <w:szCs w:val="24"/>
          <w:highlight w:val="none"/>
        </w:rPr>
        <w:t>，顺应智能汽车基础地图领域新技术不断涌现、新业态蓬勃发展、新模式持续创新的趋势。</w:t>
      </w:r>
    </w:p>
    <w:p w14:paraId="5B525F7B">
      <w:pPr>
        <w:numPr>
          <w:ilvl w:val="0"/>
          <w:numId w:val="4"/>
        </w:numPr>
        <w:spacing w:line="360" w:lineRule="auto"/>
        <w:ind w:firstLine="480" w:firstLineChars="200"/>
        <w:jc w:val="both"/>
        <w:rPr>
          <w:rFonts w:ascii="Times New Roman" w:hAnsi="Times New Roman" w:eastAsia="宋体" w:cs="Times New Roman"/>
          <w:bCs/>
          <w:color w:val="auto"/>
          <w:sz w:val="24"/>
          <w:szCs w:val="28"/>
          <w:highlight w:val="none"/>
        </w:rPr>
      </w:pPr>
      <w:r>
        <w:rPr>
          <w:rFonts w:hint="eastAsia" w:ascii="Times New Roman" w:hAnsi="Times New Roman" w:eastAsia="宋体" w:cs="Times New Roman"/>
          <w:bCs/>
          <w:color w:val="auto"/>
          <w:sz w:val="24"/>
          <w:szCs w:val="28"/>
          <w:highlight w:val="none"/>
        </w:rPr>
        <w:t>通用性原则</w:t>
      </w:r>
    </w:p>
    <w:p w14:paraId="0225D7AA">
      <w:pPr>
        <w:spacing w:line="360" w:lineRule="auto"/>
        <w:ind w:firstLine="480" w:firstLineChars="200"/>
        <w:jc w:val="both"/>
        <w:rPr>
          <w:rFonts w:hint="eastAsia"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本文件符合自然资源部关于智能汽车基础地图标准体系</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自然资源领域数据安全管理办法</w:t>
      </w:r>
      <w:r>
        <w:rPr>
          <w:rFonts w:hint="eastAsia" w:ascii="Times New Roman" w:hAnsi="Times New Roman" w:eastAsia="宋体" w:cs="Times New Roman"/>
          <w:snapToGrid/>
          <w:color w:val="auto"/>
          <w:sz w:val="24"/>
          <w:szCs w:val="28"/>
          <w:highlight w:val="none"/>
          <w:lang w:val="en-US" w:eastAsia="zh-CN"/>
        </w:rPr>
        <w:t>以及地理信息数据分类分级</w:t>
      </w:r>
      <w:r>
        <w:rPr>
          <w:rFonts w:hint="eastAsia" w:ascii="Times New Roman" w:hAnsi="Times New Roman" w:eastAsia="宋体" w:cs="Times New Roman"/>
          <w:snapToGrid/>
          <w:color w:val="auto"/>
          <w:sz w:val="24"/>
          <w:szCs w:val="28"/>
          <w:highlight w:val="none"/>
        </w:rPr>
        <w:t>等</w:t>
      </w:r>
      <w:r>
        <w:rPr>
          <w:rFonts w:hint="eastAsia" w:ascii="Times New Roman" w:hAnsi="Times New Roman" w:eastAsia="宋体" w:cs="Times New Roman"/>
          <w:snapToGrid/>
          <w:color w:val="auto"/>
          <w:sz w:val="24"/>
          <w:szCs w:val="28"/>
          <w:highlight w:val="none"/>
          <w:lang w:val="en-US" w:eastAsia="zh-CN"/>
        </w:rPr>
        <w:t>相关</w:t>
      </w:r>
      <w:r>
        <w:rPr>
          <w:rFonts w:hint="eastAsia" w:ascii="Times New Roman" w:hAnsi="Times New Roman" w:eastAsia="宋体" w:cs="Times New Roman"/>
          <w:snapToGrid/>
          <w:color w:val="auto"/>
          <w:sz w:val="24"/>
          <w:szCs w:val="28"/>
          <w:highlight w:val="none"/>
        </w:rPr>
        <w:t>政策文件的</w:t>
      </w:r>
      <w:r>
        <w:rPr>
          <w:rFonts w:hint="eastAsia" w:ascii="Times New Roman" w:hAnsi="Times New Roman" w:eastAsia="宋体" w:cs="Times New Roman"/>
          <w:snapToGrid/>
          <w:color w:val="auto"/>
          <w:sz w:val="24"/>
          <w:szCs w:val="28"/>
          <w:highlight w:val="none"/>
          <w:lang w:val="en-US" w:eastAsia="zh-CN"/>
        </w:rPr>
        <w:t>有关</w:t>
      </w:r>
      <w:r>
        <w:rPr>
          <w:rFonts w:hint="eastAsia" w:ascii="Times New Roman" w:hAnsi="Times New Roman" w:eastAsia="宋体" w:cs="Times New Roman"/>
          <w:snapToGrid/>
          <w:color w:val="auto"/>
          <w:sz w:val="24"/>
          <w:szCs w:val="28"/>
          <w:highlight w:val="none"/>
        </w:rPr>
        <w:t>要求，能够满足</w:t>
      </w:r>
      <w:r>
        <w:rPr>
          <w:rFonts w:hint="eastAsia" w:ascii="Times New Roman" w:hAnsi="Times New Roman" w:eastAsia="宋体" w:cs="Times New Roman"/>
          <w:snapToGrid/>
          <w:color w:val="auto"/>
          <w:sz w:val="24"/>
          <w:szCs w:val="28"/>
          <w:highlight w:val="none"/>
          <w:lang w:val="en-US" w:eastAsia="zh-CN"/>
        </w:rPr>
        <w:t>智能汽车基础地图相关</w:t>
      </w:r>
      <w:r>
        <w:rPr>
          <w:rFonts w:hint="eastAsia" w:ascii="Times New Roman" w:hAnsi="Times New Roman" w:eastAsia="宋体" w:cs="Times New Roman"/>
          <w:snapToGrid/>
          <w:color w:val="auto"/>
          <w:sz w:val="24"/>
          <w:szCs w:val="28"/>
          <w:highlight w:val="none"/>
        </w:rPr>
        <w:t>行业领域</w:t>
      </w:r>
      <w:r>
        <w:rPr>
          <w:rFonts w:hint="eastAsia" w:ascii="Times New Roman" w:hAnsi="Times New Roman" w:eastAsia="宋体" w:cs="Times New Roman"/>
          <w:snapToGrid/>
          <w:color w:val="auto"/>
          <w:sz w:val="24"/>
          <w:szCs w:val="28"/>
          <w:highlight w:val="none"/>
          <w:lang w:val="en-US" w:eastAsia="zh-CN"/>
        </w:rPr>
        <w:t>在《地理信息数据分类分级工作指南（试行）》</w:t>
      </w:r>
      <w:r>
        <w:rPr>
          <w:rFonts w:hint="eastAsia" w:cs="Times New Roman"/>
          <w:snapToGrid/>
          <w:color w:val="auto"/>
          <w:sz w:val="24"/>
          <w:szCs w:val="28"/>
          <w:highlight w:val="none"/>
          <w:lang w:val="en-US" w:eastAsia="zh-CN" w:bidi="ar-SA"/>
        </w:rPr>
        <w:t>（自然资办发</w:t>
      </w:r>
      <w:r>
        <w:rPr>
          <w:rFonts w:hint="default" w:ascii="Times New Roman" w:hAnsi="Times New Roman" w:cs="Times New Roman"/>
          <w:snapToGrid/>
          <w:color w:val="auto"/>
          <w:sz w:val="24"/>
          <w:szCs w:val="28"/>
          <w:highlight w:val="none"/>
          <w:lang w:val="en-US" w:eastAsia="zh-CN" w:bidi="ar-SA"/>
        </w:rPr>
        <w:t>〔2025〕11</w:t>
      </w:r>
      <w:r>
        <w:rPr>
          <w:rFonts w:hint="eastAsia" w:cs="Times New Roman"/>
          <w:snapToGrid/>
          <w:color w:val="auto"/>
          <w:sz w:val="24"/>
          <w:szCs w:val="28"/>
          <w:highlight w:val="none"/>
          <w:lang w:val="en-US" w:eastAsia="zh-CN" w:bidi="ar-SA"/>
        </w:rPr>
        <w:t>号）</w:t>
      </w:r>
      <w:r>
        <w:rPr>
          <w:rFonts w:hint="eastAsia" w:ascii="Times New Roman" w:hAnsi="Times New Roman" w:eastAsia="宋体" w:cs="Times New Roman"/>
          <w:snapToGrid/>
          <w:color w:val="auto"/>
          <w:sz w:val="24"/>
          <w:szCs w:val="28"/>
          <w:highlight w:val="none"/>
          <w:lang w:val="en-US" w:eastAsia="zh-CN"/>
        </w:rPr>
        <w:t>的指导下，</w:t>
      </w:r>
      <w:r>
        <w:rPr>
          <w:rFonts w:hint="eastAsia" w:ascii="Times New Roman" w:hAnsi="Times New Roman" w:eastAsia="宋体" w:cs="Times New Roman"/>
          <w:snapToGrid/>
          <w:color w:val="auto"/>
          <w:sz w:val="24"/>
          <w:szCs w:val="28"/>
          <w:highlight w:val="none"/>
        </w:rPr>
        <w:t>开展</w:t>
      </w:r>
      <w:r>
        <w:rPr>
          <w:rFonts w:hint="eastAsia" w:ascii="Times New Roman" w:hAnsi="Times New Roman" w:eastAsia="宋体" w:cs="Times New Roman"/>
          <w:snapToGrid/>
          <w:color w:val="auto"/>
          <w:sz w:val="24"/>
          <w:szCs w:val="28"/>
          <w:highlight w:val="none"/>
          <w:lang w:val="en-US" w:eastAsia="zh-CN"/>
        </w:rPr>
        <w:t>针对非涉密</w:t>
      </w:r>
      <w:r>
        <w:rPr>
          <w:rFonts w:hint="eastAsia" w:ascii="Times New Roman" w:hAnsi="Times New Roman" w:eastAsia="宋体" w:cs="Times New Roman"/>
          <w:snapToGrid/>
          <w:color w:val="auto"/>
          <w:sz w:val="24"/>
          <w:szCs w:val="28"/>
          <w:highlight w:val="none"/>
        </w:rPr>
        <w:t>智能汽车基础地图数据分类分级管理</w:t>
      </w:r>
      <w:r>
        <w:rPr>
          <w:rFonts w:hint="eastAsia" w:ascii="Times New Roman" w:hAnsi="Times New Roman" w:eastAsia="宋体" w:cs="Times New Roman"/>
          <w:snapToGrid/>
          <w:color w:val="auto"/>
          <w:sz w:val="24"/>
          <w:szCs w:val="28"/>
          <w:highlight w:val="none"/>
          <w:lang w:val="en-US" w:eastAsia="zh-CN"/>
        </w:rPr>
        <w:t>的</w:t>
      </w:r>
      <w:r>
        <w:rPr>
          <w:rFonts w:hint="eastAsia" w:ascii="Times New Roman" w:hAnsi="Times New Roman" w:eastAsia="宋体" w:cs="Times New Roman"/>
          <w:snapToGrid/>
          <w:color w:val="auto"/>
          <w:sz w:val="24"/>
          <w:szCs w:val="28"/>
          <w:highlight w:val="none"/>
        </w:rPr>
        <w:t>需求，</w:t>
      </w:r>
      <w:r>
        <w:rPr>
          <w:rFonts w:hint="eastAsia" w:ascii="Times New Roman" w:hAnsi="Times New Roman" w:eastAsia="宋体" w:cs="Times New Roman"/>
          <w:snapToGrid/>
          <w:color w:val="auto"/>
          <w:sz w:val="24"/>
          <w:szCs w:val="28"/>
          <w:highlight w:val="none"/>
          <w:lang w:val="en-US" w:eastAsia="zh-CN"/>
        </w:rPr>
        <w:t>结合</w:t>
      </w:r>
      <w:r>
        <w:rPr>
          <w:rFonts w:hint="eastAsia" w:ascii="Times New Roman" w:hAnsi="Times New Roman" w:eastAsia="宋体" w:cs="Times New Roman"/>
          <w:snapToGrid/>
          <w:color w:val="auto"/>
          <w:sz w:val="24"/>
          <w:szCs w:val="28"/>
          <w:highlight w:val="none"/>
        </w:rPr>
        <w:t>智能汽车基础地图</w:t>
      </w:r>
      <w:r>
        <w:rPr>
          <w:rFonts w:hint="eastAsia" w:ascii="Times New Roman" w:hAnsi="Times New Roman" w:eastAsia="宋体" w:cs="Times New Roman"/>
          <w:snapToGrid/>
          <w:color w:val="auto"/>
          <w:sz w:val="24"/>
          <w:szCs w:val="28"/>
          <w:highlight w:val="none"/>
          <w:lang w:val="en-US" w:eastAsia="zh-CN"/>
        </w:rPr>
        <w:t>数据采集上传、更新处理和服务分发等流程环节</w:t>
      </w:r>
      <w:r>
        <w:rPr>
          <w:rFonts w:hint="eastAsia" w:ascii="Times New Roman" w:hAnsi="Times New Roman" w:eastAsia="宋体" w:cs="Times New Roman"/>
          <w:snapToGrid/>
          <w:color w:val="auto"/>
          <w:sz w:val="24"/>
          <w:szCs w:val="28"/>
          <w:highlight w:val="none"/>
        </w:rPr>
        <w:t>，</w:t>
      </w:r>
      <w:r>
        <w:rPr>
          <w:rFonts w:hint="eastAsia" w:ascii="Times New Roman" w:hAnsi="Times New Roman" w:eastAsia="宋体" w:cs="Times New Roman"/>
          <w:snapToGrid/>
          <w:color w:val="auto"/>
          <w:sz w:val="24"/>
          <w:szCs w:val="28"/>
          <w:highlight w:val="none"/>
          <w:lang w:val="en-US" w:eastAsia="zh-CN"/>
        </w:rPr>
        <w:t>提出涉及</w:t>
      </w:r>
      <w:r>
        <w:rPr>
          <w:rFonts w:hint="eastAsia" w:ascii="Times New Roman" w:hAnsi="Times New Roman" w:eastAsia="宋体" w:cs="Times New Roman"/>
          <w:snapToGrid/>
          <w:color w:val="auto"/>
          <w:sz w:val="24"/>
          <w:szCs w:val="28"/>
          <w:highlight w:val="none"/>
        </w:rPr>
        <w:t>核心、重要和一般</w:t>
      </w:r>
      <w:r>
        <w:rPr>
          <w:rFonts w:hint="eastAsia" w:ascii="Times New Roman" w:hAnsi="Times New Roman" w:eastAsia="宋体" w:cs="Times New Roman"/>
          <w:snapToGrid/>
          <w:color w:val="auto"/>
          <w:sz w:val="24"/>
          <w:szCs w:val="28"/>
          <w:highlight w:val="none"/>
          <w:lang w:val="en-US" w:eastAsia="zh-CN"/>
        </w:rPr>
        <w:t>数据的定级规则</w:t>
      </w:r>
      <w:r>
        <w:rPr>
          <w:rFonts w:hint="eastAsia" w:ascii="Times New Roman" w:hAnsi="Times New Roman" w:eastAsia="宋体" w:cs="Times New Roman"/>
          <w:snapToGrid/>
          <w:color w:val="auto"/>
          <w:sz w:val="24"/>
          <w:szCs w:val="28"/>
          <w:highlight w:val="none"/>
        </w:rPr>
        <w:t>，具备清晰的逻辑架构与可操作性</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标准在后续的技术落地实施以及在行业内的推广应用，有力推动智能汽车基础地图数据管理的规范化与标准化进程。</w:t>
      </w:r>
    </w:p>
    <w:p w14:paraId="00CF5068">
      <w:pPr>
        <w:numPr>
          <w:ilvl w:val="0"/>
          <w:numId w:val="4"/>
        </w:numPr>
        <w:spacing w:line="360" w:lineRule="auto"/>
        <w:ind w:firstLine="480" w:firstLineChars="200"/>
        <w:jc w:val="both"/>
        <w:rPr>
          <w:rFonts w:ascii="Times New Roman" w:hAnsi="Times New Roman" w:eastAsia="宋体" w:cs="Times New Roman"/>
          <w:bCs/>
          <w:color w:val="auto"/>
          <w:sz w:val="24"/>
          <w:szCs w:val="28"/>
          <w:highlight w:val="none"/>
        </w:rPr>
      </w:pPr>
      <w:r>
        <w:rPr>
          <w:rFonts w:hint="eastAsia" w:ascii="Times New Roman" w:hAnsi="Times New Roman" w:eastAsia="宋体" w:cs="Times New Roman"/>
          <w:bCs/>
          <w:color w:val="auto"/>
          <w:sz w:val="24"/>
          <w:szCs w:val="28"/>
          <w:highlight w:val="none"/>
        </w:rPr>
        <w:t>指导性原则</w:t>
      </w:r>
    </w:p>
    <w:p w14:paraId="2C4C4960">
      <w:pPr>
        <w:spacing w:line="360" w:lineRule="auto"/>
        <w:ind w:firstLine="480" w:firstLineChars="200"/>
        <w:jc w:val="both"/>
        <w:rPr>
          <w:rFonts w:hint="eastAsia" w:ascii="Times New Roman" w:hAnsi="Times New Roman" w:eastAsia="宋体" w:cs="Times New Roman"/>
          <w:snapToGrid/>
          <w:color w:val="auto"/>
          <w:sz w:val="24"/>
          <w:szCs w:val="28"/>
          <w:highlight w:val="none"/>
        </w:rPr>
      </w:pPr>
      <w:r>
        <w:rPr>
          <w:rFonts w:hint="eastAsia" w:ascii="Times New Roman" w:hAnsi="Times New Roman" w:eastAsia="宋体" w:cs="Times New Roman"/>
          <w:color w:val="auto"/>
          <w:sz w:val="24"/>
          <w:szCs w:val="28"/>
          <w:highlight w:val="none"/>
        </w:rPr>
        <w:t>本文件</w:t>
      </w:r>
      <w:r>
        <w:rPr>
          <w:rFonts w:hint="eastAsia" w:ascii="Times New Roman" w:hAnsi="Times New Roman" w:eastAsia="宋体" w:cs="Times New Roman"/>
          <w:snapToGrid/>
          <w:color w:val="auto"/>
          <w:sz w:val="24"/>
          <w:szCs w:val="28"/>
          <w:highlight w:val="none"/>
        </w:rPr>
        <w:t>反映智能汽车基础地图不同类别与级别数据产品之间的内在属性特征以及相互关联关系，</w:t>
      </w:r>
      <w:r>
        <w:rPr>
          <w:rFonts w:hint="eastAsia" w:ascii="Times New Roman" w:hAnsi="Times New Roman" w:eastAsia="宋体" w:cs="Times New Roman"/>
          <w:color w:val="auto"/>
          <w:sz w:val="24"/>
          <w:szCs w:val="28"/>
          <w:highlight w:val="none"/>
        </w:rPr>
        <w:t>对导航电子地图制作</w:t>
      </w:r>
      <w:r>
        <w:rPr>
          <w:rFonts w:hint="eastAsia" w:ascii="Times New Roman" w:hAnsi="Times New Roman" w:eastAsia="宋体" w:cs="Times New Roman"/>
          <w:snapToGrid/>
          <w:color w:val="auto"/>
          <w:sz w:val="24"/>
          <w:szCs w:val="28"/>
          <w:highlight w:val="none"/>
        </w:rPr>
        <w:t>测绘资质单位和汽车制造企业等相关使用方，涉及数据分类分级体系及其对应规则应用方面提供通用的技术指导</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lang w:val="en-US" w:eastAsia="zh-CN"/>
        </w:rPr>
        <w:t>此外，呼应自然资源主管部门及相关部委陆续出台的政策新规文件，深度契合政策导向与监管要求</w:t>
      </w:r>
      <w:r>
        <w:rPr>
          <w:rFonts w:hint="eastAsia" w:ascii="Times New Roman" w:hAnsi="Times New Roman" w:eastAsia="宋体" w:cs="Times New Roman"/>
          <w:snapToGrid/>
          <w:color w:val="auto"/>
          <w:sz w:val="24"/>
          <w:szCs w:val="28"/>
          <w:highlight w:val="none"/>
        </w:rPr>
        <w:t>，进一步强化了对各应用方开展智能汽车基础地图数据分类分级管理工作的规范约束。</w:t>
      </w:r>
    </w:p>
    <w:p w14:paraId="05A7BD11">
      <w:pPr>
        <w:numPr>
          <w:ilvl w:val="0"/>
          <w:numId w:val="3"/>
        </w:numPr>
        <w:spacing w:line="360" w:lineRule="auto"/>
        <w:jc w:val="both"/>
        <w:outlineLvl w:val="1"/>
        <w:rPr>
          <w:rFonts w:ascii="Times New Roman" w:hAnsi="Times New Roman" w:eastAsia="宋体" w:cs="Times New Roman"/>
          <w:b/>
          <w:bCs/>
          <w:color w:val="auto"/>
          <w:sz w:val="24"/>
          <w:szCs w:val="24"/>
          <w:highlight w:val="none"/>
        </w:rPr>
      </w:pPr>
      <w:bookmarkStart w:id="19" w:name="_Toc148984864"/>
      <w:bookmarkStart w:id="20" w:name="_Toc21682"/>
      <w:bookmarkStart w:id="21" w:name="_Toc148619397"/>
      <w:r>
        <w:rPr>
          <w:rFonts w:ascii="Times New Roman" w:hAnsi="Times New Roman" w:eastAsia="宋体" w:cs="Times New Roman"/>
          <w:b/>
          <w:bCs/>
          <w:color w:val="auto"/>
          <w:sz w:val="24"/>
          <w:szCs w:val="24"/>
          <w:highlight w:val="none"/>
        </w:rPr>
        <w:t>主要内容</w:t>
      </w:r>
      <w:bookmarkEnd w:id="19"/>
      <w:bookmarkEnd w:id="20"/>
      <w:bookmarkEnd w:id="21"/>
    </w:p>
    <w:p w14:paraId="0F0CE9AB">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第</w:t>
      </w:r>
      <w:r>
        <w:rPr>
          <w:rFonts w:ascii="Times New Roman" w:hAnsi="Times New Roman" w:eastAsia="宋体" w:cs="Times New Roman"/>
          <w:b/>
          <w:color w:val="auto"/>
          <w:sz w:val="24"/>
          <w:szCs w:val="24"/>
          <w:highlight w:val="none"/>
        </w:rPr>
        <w:t>1</w:t>
      </w:r>
      <w:r>
        <w:rPr>
          <w:rFonts w:hint="eastAsia" w:ascii="Times New Roman" w:hAnsi="Times New Roman" w:eastAsia="宋体" w:cs="Times New Roman"/>
          <w:b/>
          <w:color w:val="auto"/>
          <w:sz w:val="24"/>
          <w:szCs w:val="24"/>
          <w:highlight w:val="none"/>
        </w:rPr>
        <w:t>章 范围</w:t>
      </w:r>
    </w:p>
    <w:p w14:paraId="7D6CEE97">
      <w:pPr>
        <w:spacing w:line="360" w:lineRule="auto"/>
        <w:ind w:firstLine="480" w:firstLineChars="200"/>
        <w:jc w:val="both"/>
        <w:rPr>
          <w:rFonts w:hint="default" w:ascii="Times New Roman" w:hAnsi="Times New Roman" w:eastAsia="宋体" w:cs="Times New Roman"/>
          <w:snapToGrid/>
          <w:color w:val="auto"/>
          <w:sz w:val="24"/>
          <w:szCs w:val="24"/>
          <w:highlight w:val="none"/>
          <w:lang w:val="en-US" w:eastAsia="zh-CN"/>
        </w:rPr>
      </w:pPr>
      <w:r>
        <w:rPr>
          <w:rFonts w:hint="eastAsia" w:ascii="Times New Roman" w:hAnsi="Times New Roman" w:eastAsia="宋体" w:cs="Times New Roman"/>
          <w:snapToGrid/>
          <w:color w:val="auto"/>
          <w:sz w:val="24"/>
          <w:szCs w:val="24"/>
          <w:highlight w:val="none"/>
        </w:rPr>
        <w:t>本章主要明确了标准规定的范围以及适用对象，</w:t>
      </w:r>
      <w:r>
        <w:rPr>
          <w:rFonts w:hint="eastAsia" w:ascii="Times New Roman" w:hAnsi="Times New Roman" w:eastAsia="宋体" w:cs="Times New Roman"/>
          <w:snapToGrid/>
          <w:color w:val="auto"/>
          <w:sz w:val="24"/>
          <w:szCs w:val="24"/>
          <w:highlight w:val="none"/>
          <w:lang w:val="en-US" w:eastAsia="zh-CN"/>
        </w:rPr>
        <w:t>即</w:t>
      </w:r>
      <w:r>
        <w:rPr>
          <w:rFonts w:hint="eastAsia" w:ascii="Times New Roman" w:hAnsi="Times New Roman" w:eastAsia="宋体" w:cs="Times New Roman"/>
          <w:snapToGrid/>
          <w:color w:val="auto"/>
          <w:sz w:val="24"/>
          <w:szCs w:val="24"/>
          <w:highlight w:val="none"/>
        </w:rPr>
        <w:t>智能汽车基础地图数据分类分级</w:t>
      </w:r>
      <w:r>
        <w:rPr>
          <w:rFonts w:hint="eastAsia" w:ascii="Times New Roman" w:hAnsi="Times New Roman" w:eastAsia="宋体" w:cs="Times New Roman"/>
          <w:snapToGrid/>
          <w:color w:val="auto"/>
          <w:sz w:val="24"/>
          <w:szCs w:val="24"/>
          <w:highlight w:val="none"/>
          <w:lang w:val="en-US" w:eastAsia="zh-CN"/>
        </w:rPr>
        <w:t>的</w:t>
      </w:r>
      <w:r>
        <w:rPr>
          <w:rFonts w:hint="eastAsia" w:ascii="Times New Roman" w:hAnsi="Times New Roman" w:eastAsia="宋体" w:cs="Times New Roman"/>
          <w:snapToGrid/>
          <w:color w:val="auto"/>
          <w:sz w:val="24"/>
          <w:szCs w:val="24"/>
          <w:highlight w:val="none"/>
        </w:rPr>
        <w:t>基本原则、数据分类和</w:t>
      </w:r>
      <w:r>
        <w:rPr>
          <w:rFonts w:hint="eastAsia" w:ascii="Times New Roman" w:hAnsi="Times New Roman" w:eastAsia="宋体" w:cs="Times New Roman"/>
          <w:snapToGrid/>
          <w:color w:val="auto"/>
          <w:sz w:val="24"/>
          <w:szCs w:val="24"/>
          <w:highlight w:val="none"/>
          <w:lang w:val="en-US" w:eastAsia="zh-CN"/>
        </w:rPr>
        <w:t>数据</w:t>
      </w:r>
      <w:r>
        <w:rPr>
          <w:rFonts w:hint="eastAsia" w:ascii="Times New Roman" w:hAnsi="Times New Roman" w:eastAsia="宋体" w:cs="Times New Roman"/>
          <w:snapToGrid/>
          <w:color w:val="auto"/>
          <w:sz w:val="24"/>
          <w:szCs w:val="24"/>
          <w:highlight w:val="none"/>
        </w:rPr>
        <w:t>分级</w:t>
      </w:r>
      <w:r>
        <w:rPr>
          <w:rFonts w:hint="eastAsia" w:ascii="Times New Roman" w:hAnsi="Times New Roman" w:eastAsia="宋体" w:cs="Times New Roman"/>
          <w:snapToGrid/>
          <w:color w:val="auto"/>
          <w:sz w:val="24"/>
          <w:szCs w:val="24"/>
          <w:highlight w:val="none"/>
          <w:lang w:val="en-US" w:eastAsia="zh-CN"/>
        </w:rPr>
        <w:t>规则</w:t>
      </w:r>
      <w:r>
        <w:rPr>
          <w:rFonts w:hint="eastAsia" w:ascii="Times New Roman" w:hAnsi="Times New Roman" w:eastAsia="宋体" w:cs="Times New Roman"/>
          <w:snapToGrid/>
          <w:color w:val="auto"/>
          <w:sz w:val="24"/>
          <w:szCs w:val="24"/>
          <w:highlight w:val="none"/>
        </w:rPr>
        <w:t>。作为我国智能汽车基础地图标准体系中“基础通用部分”的关键性标准，本文件聚焦</w:t>
      </w:r>
      <w:r>
        <w:rPr>
          <w:rFonts w:hint="eastAsia" w:ascii="Times New Roman" w:hAnsi="Times New Roman" w:eastAsia="宋体" w:cs="Times New Roman"/>
          <w:snapToGrid/>
          <w:color w:val="auto"/>
          <w:sz w:val="24"/>
          <w:szCs w:val="24"/>
          <w:highlight w:val="none"/>
          <w:lang w:val="en-US" w:eastAsia="zh-CN"/>
        </w:rPr>
        <w:t>非涉密的</w:t>
      </w:r>
      <w:r>
        <w:rPr>
          <w:rFonts w:hint="eastAsia" w:ascii="Times New Roman" w:hAnsi="Times New Roman" w:eastAsia="宋体" w:cs="Times New Roman"/>
          <w:snapToGrid/>
          <w:color w:val="auto"/>
          <w:sz w:val="24"/>
          <w:szCs w:val="24"/>
          <w:highlight w:val="none"/>
        </w:rPr>
        <w:t>智能汽车基础地图数据，是</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智能网联汽车高精度地图</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应用</w:t>
      </w:r>
      <w:r>
        <w:rPr>
          <w:rFonts w:hint="eastAsia" w:ascii="Times New Roman" w:hAnsi="Times New Roman" w:eastAsia="宋体" w:cs="Times New Roman"/>
          <w:snapToGrid/>
          <w:color w:val="auto"/>
          <w:sz w:val="24"/>
          <w:szCs w:val="24"/>
          <w:highlight w:val="none"/>
          <w:lang w:val="en-US" w:eastAsia="zh-CN"/>
        </w:rPr>
        <w:t>和“</w:t>
      </w:r>
      <w:r>
        <w:rPr>
          <w:rFonts w:hint="eastAsia" w:ascii="Times New Roman" w:hAnsi="Times New Roman" w:eastAsia="宋体" w:cs="Times New Roman"/>
          <w:snapToGrid/>
          <w:color w:val="auto"/>
          <w:sz w:val="24"/>
          <w:szCs w:val="24"/>
          <w:highlight w:val="none"/>
        </w:rPr>
        <w:t>车路云一体化</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应用</w:t>
      </w:r>
      <w:r>
        <w:rPr>
          <w:rFonts w:hint="eastAsia" w:ascii="Times New Roman" w:hAnsi="Times New Roman" w:eastAsia="宋体" w:cs="Times New Roman"/>
          <w:snapToGrid/>
          <w:color w:val="auto"/>
          <w:sz w:val="24"/>
          <w:szCs w:val="24"/>
          <w:highlight w:val="none"/>
          <w:lang w:val="en-US" w:eastAsia="zh-CN"/>
        </w:rPr>
        <w:t>等试点工作</w:t>
      </w:r>
      <w:r>
        <w:rPr>
          <w:rFonts w:hint="eastAsia" w:ascii="Times New Roman" w:hAnsi="Times New Roman" w:eastAsia="宋体" w:cs="Times New Roman"/>
          <w:snapToGrid/>
          <w:color w:val="auto"/>
          <w:sz w:val="24"/>
          <w:szCs w:val="24"/>
          <w:highlight w:val="none"/>
        </w:rPr>
        <w:t>的关注重点。</w:t>
      </w:r>
      <w:r>
        <w:rPr>
          <w:rFonts w:hint="eastAsia" w:ascii="Times New Roman" w:hAnsi="Times New Roman" w:eastAsia="宋体" w:cs="Times New Roman"/>
          <w:snapToGrid/>
          <w:color w:val="auto"/>
          <w:sz w:val="24"/>
          <w:szCs w:val="24"/>
          <w:highlight w:val="none"/>
          <w:lang w:val="en-US" w:eastAsia="zh-CN"/>
        </w:rPr>
        <w:t>涉及测绘地理信息管理工作国家秘密目录中的涉密部分，则不在本文件的编制范围。</w:t>
      </w:r>
    </w:p>
    <w:p w14:paraId="570A1885">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第</w:t>
      </w:r>
      <w:r>
        <w:rPr>
          <w:rFonts w:ascii="Times New Roman" w:hAnsi="Times New Roman" w:eastAsia="宋体" w:cs="Times New Roman"/>
          <w:b/>
          <w:color w:val="auto"/>
          <w:sz w:val="24"/>
          <w:szCs w:val="24"/>
          <w:highlight w:val="none"/>
        </w:rPr>
        <w:t>2</w:t>
      </w:r>
      <w:r>
        <w:rPr>
          <w:rFonts w:hint="eastAsia" w:ascii="Times New Roman" w:hAnsi="Times New Roman" w:eastAsia="宋体" w:cs="Times New Roman"/>
          <w:b/>
          <w:color w:val="auto"/>
          <w:sz w:val="24"/>
          <w:szCs w:val="24"/>
          <w:highlight w:val="none"/>
        </w:rPr>
        <w:t xml:space="preserve">章 </w:t>
      </w:r>
      <w:r>
        <w:rPr>
          <w:rFonts w:hint="eastAsia" w:ascii="Times New Roman" w:hAnsi="Times New Roman" w:eastAsia="宋体" w:cs="Times New Roman"/>
          <w:b/>
          <w:snapToGrid/>
          <w:color w:val="auto"/>
          <w:sz w:val="24"/>
          <w:szCs w:val="24"/>
          <w:highlight w:val="none"/>
        </w:rPr>
        <w:t>规范性引用文件</w:t>
      </w:r>
    </w:p>
    <w:p w14:paraId="395B79B6">
      <w:pPr>
        <w:spacing w:line="360" w:lineRule="auto"/>
        <w:ind w:firstLine="480" w:firstLineChars="200"/>
        <w:jc w:val="both"/>
        <w:rPr>
          <w:rFonts w:hint="eastAsia"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本章</w:t>
      </w:r>
      <w:r>
        <w:rPr>
          <w:rFonts w:hint="eastAsia" w:ascii="Times New Roman" w:hAnsi="Times New Roman" w:eastAsia="宋体" w:cs="Times New Roman"/>
          <w:snapToGrid/>
          <w:color w:val="auto"/>
          <w:sz w:val="24"/>
          <w:szCs w:val="24"/>
          <w:highlight w:val="none"/>
          <w:lang w:val="en-US" w:eastAsia="zh-CN"/>
        </w:rPr>
        <w:t>介绍了数据分类分级、时空数据传感器、</w:t>
      </w:r>
      <w:r>
        <w:rPr>
          <w:rFonts w:hint="eastAsia" w:ascii="Times New Roman" w:hAnsi="Times New Roman" w:eastAsia="宋体" w:cs="Times New Roman"/>
          <w:snapToGrid/>
          <w:color w:val="auto"/>
          <w:sz w:val="24"/>
          <w:szCs w:val="24"/>
          <w:highlight w:val="none"/>
        </w:rPr>
        <w:t>智能汽车基础地图</w:t>
      </w:r>
      <w:r>
        <w:rPr>
          <w:rFonts w:hint="eastAsia" w:ascii="Times New Roman" w:hAnsi="Times New Roman" w:eastAsia="宋体" w:cs="Times New Roman"/>
          <w:snapToGrid/>
          <w:color w:val="auto"/>
          <w:sz w:val="24"/>
          <w:szCs w:val="24"/>
          <w:highlight w:val="none"/>
          <w:lang w:val="en-US" w:eastAsia="zh-CN"/>
        </w:rPr>
        <w:t>数据以及相关安全处理与保护</w:t>
      </w:r>
      <w:r>
        <w:rPr>
          <w:rFonts w:hint="eastAsia" w:ascii="Times New Roman" w:hAnsi="Times New Roman" w:eastAsia="宋体" w:cs="Times New Roman"/>
          <w:snapToGrid/>
          <w:color w:val="auto"/>
          <w:sz w:val="24"/>
          <w:szCs w:val="24"/>
          <w:highlight w:val="none"/>
        </w:rPr>
        <w:t>方面的国家标准和行业标准</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作为</w:t>
      </w:r>
      <w:r>
        <w:rPr>
          <w:rFonts w:hint="eastAsia" w:ascii="Times New Roman" w:hAnsi="Times New Roman" w:eastAsia="宋体" w:cs="Times New Roman"/>
          <w:snapToGrid/>
          <w:color w:val="auto"/>
          <w:sz w:val="24"/>
          <w:szCs w:val="24"/>
          <w:highlight w:val="none"/>
          <w:lang w:val="en-US" w:eastAsia="zh-CN"/>
        </w:rPr>
        <w:t>后续术语定义、数据分类和数据分级技术内容</w:t>
      </w:r>
      <w:r>
        <w:rPr>
          <w:rFonts w:hint="eastAsia" w:ascii="Times New Roman" w:hAnsi="Times New Roman" w:eastAsia="宋体" w:cs="Times New Roman"/>
          <w:snapToGrid/>
          <w:color w:val="auto"/>
          <w:sz w:val="24"/>
          <w:szCs w:val="24"/>
          <w:highlight w:val="none"/>
        </w:rPr>
        <w:t>的引用来源，按《标准化工作导则第1部分：标准化文件的结构和起草规则》（GB/T 1.1—2020）的要求，凡在标准正文中直接引用的国内外标准应在此出现。</w:t>
      </w:r>
    </w:p>
    <w:p w14:paraId="05591B54">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第3章 术语和定义</w:t>
      </w:r>
    </w:p>
    <w:p w14:paraId="467A21AF">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本章</w:t>
      </w:r>
      <w:r>
        <w:rPr>
          <w:rFonts w:hint="eastAsia" w:ascii="Times New Roman" w:hAnsi="Times New Roman" w:eastAsia="宋体" w:cs="Times New Roman"/>
          <w:snapToGrid/>
          <w:color w:val="auto"/>
          <w:sz w:val="24"/>
          <w:szCs w:val="24"/>
          <w:highlight w:val="none"/>
          <w:lang w:val="en-US" w:eastAsia="zh-CN"/>
        </w:rPr>
        <w:t>明确提出时空数据传感器、智能汽车基础地图数据和地图专有平台等术语，直接</w:t>
      </w:r>
      <w:r>
        <w:rPr>
          <w:rFonts w:hint="eastAsia" w:ascii="Times New Roman" w:hAnsi="Times New Roman" w:eastAsia="宋体" w:cs="Times New Roman"/>
          <w:snapToGrid/>
          <w:color w:val="auto"/>
          <w:sz w:val="24"/>
          <w:szCs w:val="24"/>
          <w:highlight w:val="none"/>
        </w:rPr>
        <w:t>引用于</w:t>
      </w:r>
      <w:r>
        <w:rPr>
          <w:rFonts w:hint="eastAsia" w:ascii="Times New Roman" w:hAnsi="Times New Roman" w:eastAsia="宋体" w:cs="Times New Roman"/>
          <w:snapToGrid/>
          <w:color w:val="auto"/>
          <w:sz w:val="24"/>
          <w:szCs w:val="24"/>
          <w:highlight w:val="none"/>
          <w:lang w:val="en-US" w:eastAsia="zh-CN"/>
        </w:rPr>
        <w:t>即将送审的</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智能网联汽车时空数据传感系统安全基本要求</w:t>
      </w:r>
      <w:r>
        <w:rPr>
          <w:rFonts w:hint="eastAsia" w:ascii="Times New Roman" w:hAnsi="Times New Roman" w:eastAsia="宋体" w:cs="Times New Roman"/>
          <w:snapToGrid/>
          <w:color w:val="auto"/>
          <w:sz w:val="24"/>
          <w:szCs w:val="24"/>
          <w:highlight w:val="none"/>
          <w:lang w:eastAsia="zh-CN"/>
        </w:rPr>
        <w:t>》（GB XXXXX—XXXX）</w:t>
      </w:r>
      <w:r>
        <w:rPr>
          <w:rFonts w:hint="eastAsia" w:ascii="Times New Roman" w:hAnsi="Times New Roman" w:eastAsia="宋体" w:cs="Times New Roman"/>
          <w:snapToGrid/>
          <w:color w:val="auto"/>
          <w:sz w:val="24"/>
          <w:szCs w:val="24"/>
          <w:highlight w:val="none"/>
          <w:lang w:val="en-US" w:eastAsia="zh-CN"/>
        </w:rPr>
        <w:t>和报批的</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智能汽车基础地图数据传输安全保护技术规范</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CH/T XXXXX—XXXX</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其中部分术语定义的名称和内容结合后续数据分类和数据分级做了小幅度修改</w:t>
      </w:r>
      <w:r>
        <w:rPr>
          <w:rFonts w:hint="eastAsia" w:ascii="Times New Roman" w:hAnsi="Times New Roman" w:eastAsia="宋体" w:cs="Times New Roman"/>
          <w:snapToGrid/>
          <w:color w:val="auto"/>
          <w:sz w:val="24"/>
          <w:szCs w:val="24"/>
          <w:highlight w:val="none"/>
        </w:rPr>
        <w:t>。</w:t>
      </w:r>
    </w:p>
    <w:p w14:paraId="566B0AF1">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 xml:space="preserve">第4章 </w:t>
      </w:r>
      <w:r>
        <w:rPr>
          <w:rFonts w:hint="eastAsia" w:ascii="Times New Roman" w:hAnsi="Times New Roman" w:eastAsia="宋体" w:cs="Times New Roman"/>
          <w:b/>
          <w:color w:val="auto"/>
          <w:sz w:val="24"/>
          <w:szCs w:val="24"/>
          <w:highlight w:val="none"/>
          <w:lang w:val="en-US" w:eastAsia="zh-CN"/>
        </w:rPr>
        <w:t>基本</w:t>
      </w:r>
      <w:r>
        <w:rPr>
          <w:rFonts w:hint="eastAsia" w:ascii="Times New Roman" w:hAnsi="Times New Roman" w:eastAsia="宋体" w:cs="Times New Roman"/>
          <w:b/>
          <w:color w:val="auto"/>
          <w:sz w:val="24"/>
          <w:szCs w:val="24"/>
          <w:highlight w:val="none"/>
        </w:rPr>
        <w:t>原则</w:t>
      </w:r>
    </w:p>
    <w:p w14:paraId="5578D974">
      <w:pPr>
        <w:spacing w:line="360" w:lineRule="auto"/>
        <w:ind w:firstLine="480" w:firstLineChars="200"/>
        <w:jc w:val="both"/>
        <w:rPr>
          <w:color w:val="auto"/>
          <w:sz w:val="24"/>
          <w:szCs w:val="24"/>
          <w:highlight w:val="none"/>
        </w:rPr>
      </w:pPr>
      <w:r>
        <w:rPr>
          <w:rFonts w:hint="eastAsia" w:ascii="Times New Roman" w:hAnsi="Times New Roman" w:eastAsia="宋体" w:cs="Times New Roman"/>
          <w:snapToGrid/>
          <w:color w:val="auto"/>
          <w:sz w:val="24"/>
          <w:szCs w:val="24"/>
          <w:highlight w:val="none"/>
        </w:rPr>
        <w:t>本章介绍了智能汽车基础地图数据分类分级的</w:t>
      </w:r>
      <w:r>
        <w:rPr>
          <w:rFonts w:hint="eastAsia" w:ascii="Times New Roman" w:hAnsi="Times New Roman" w:eastAsia="宋体" w:cs="Times New Roman"/>
          <w:snapToGrid/>
          <w:color w:val="auto"/>
          <w:sz w:val="24"/>
          <w:szCs w:val="24"/>
          <w:highlight w:val="none"/>
          <w:lang w:val="en-US" w:eastAsia="zh-CN"/>
        </w:rPr>
        <w:t>基本</w:t>
      </w:r>
      <w:r>
        <w:rPr>
          <w:rFonts w:hint="eastAsia" w:ascii="Times New Roman" w:hAnsi="Times New Roman" w:eastAsia="宋体" w:cs="Times New Roman"/>
          <w:snapToGrid/>
          <w:color w:val="auto"/>
          <w:sz w:val="24"/>
          <w:szCs w:val="24"/>
          <w:highlight w:val="none"/>
        </w:rPr>
        <w:t>原则，作为后续</w:t>
      </w:r>
      <w:r>
        <w:rPr>
          <w:rFonts w:hint="eastAsia" w:ascii="Times New Roman" w:hAnsi="Times New Roman" w:eastAsia="宋体" w:cs="Times New Roman"/>
          <w:snapToGrid/>
          <w:color w:val="auto"/>
          <w:sz w:val="24"/>
          <w:szCs w:val="24"/>
          <w:highlight w:val="none"/>
          <w:lang w:val="en-US" w:eastAsia="zh-CN"/>
        </w:rPr>
        <w:t>数据分类和数据分级等技术内容</w:t>
      </w:r>
      <w:r>
        <w:rPr>
          <w:rFonts w:hint="eastAsia" w:ascii="Times New Roman" w:hAnsi="Times New Roman" w:eastAsia="宋体" w:cs="Times New Roman"/>
          <w:snapToGrid/>
          <w:color w:val="auto"/>
          <w:sz w:val="24"/>
          <w:szCs w:val="24"/>
          <w:highlight w:val="none"/>
        </w:rPr>
        <w:t>的前提，</w:t>
      </w:r>
      <w:r>
        <w:rPr>
          <w:rFonts w:hint="eastAsia" w:ascii="Times New Roman" w:hAnsi="Times New Roman" w:eastAsia="宋体" w:cs="Times New Roman"/>
          <w:snapToGrid/>
          <w:color w:val="auto"/>
          <w:sz w:val="24"/>
          <w:szCs w:val="24"/>
          <w:highlight w:val="none"/>
          <w:lang w:val="en-US" w:eastAsia="zh-CN"/>
        </w:rPr>
        <w:t>站在智能汽车基础地图数据管理和安全使用的角度，综合考虑地理信息数据分类分级工作、智能汽车基础地图数据应用相关行业政策，从</w:t>
      </w:r>
      <w:r>
        <w:rPr>
          <w:rFonts w:hint="eastAsia" w:ascii="Times New Roman" w:hAnsi="Times New Roman" w:eastAsia="宋体" w:cs="Times New Roman"/>
          <w:snapToGrid/>
          <w:color w:val="auto"/>
          <w:sz w:val="24"/>
          <w:szCs w:val="24"/>
          <w:highlight w:val="none"/>
        </w:rPr>
        <w:t>科学</w:t>
      </w:r>
      <w:r>
        <w:rPr>
          <w:rFonts w:hint="eastAsia" w:ascii="Times New Roman" w:hAnsi="Times New Roman" w:eastAsia="宋体" w:cs="Times New Roman"/>
          <w:snapToGrid/>
          <w:color w:val="auto"/>
          <w:sz w:val="24"/>
          <w:szCs w:val="24"/>
          <w:highlight w:val="none"/>
          <w:lang w:val="en-US" w:eastAsia="zh-CN"/>
        </w:rPr>
        <w:t>实用</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简洁明确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就高从严、兼容性和扩展性等方面</w:t>
      </w:r>
      <w:r>
        <w:rPr>
          <w:rFonts w:hint="eastAsia" w:ascii="Times New Roman" w:hAnsi="Times New Roman" w:eastAsia="宋体" w:cs="Times New Roman"/>
          <w:snapToGrid/>
          <w:color w:val="auto"/>
          <w:sz w:val="24"/>
          <w:szCs w:val="24"/>
          <w:highlight w:val="none"/>
        </w:rPr>
        <w:t>提出</w:t>
      </w:r>
      <w:r>
        <w:rPr>
          <w:rFonts w:hint="eastAsia" w:ascii="Times New Roman" w:hAnsi="Times New Roman" w:eastAsia="宋体" w:cs="Times New Roman"/>
          <w:snapToGrid/>
          <w:color w:val="auto"/>
          <w:sz w:val="24"/>
          <w:szCs w:val="24"/>
          <w:highlight w:val="none"/>
          <w:lang w:val="en-US" w:eastAsia="zh-CN"/>
        </w:rPr>
        <w:t>分类分级遵循的统领性</w:t>
      </w:r>
      <w:r>
        <w:rPr>
          <w:rFonts w:hint="eastAsia" w:ascii="Times New Roman" w:hAnsi="Times New Roman" w:eastAsia="宋体" w:cs="Times New Roman"/>
          <w:snapToGrid/>
          <w:color w:val="auto"/>
          <w:sz w:val="24"/>
          <w:szCs w:val="24"/>
          <w:highlight w:val="none"/>
        </w:rPr>
        <w:t>要求</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与</w:t>
      </w:r>
      <w:r>
        <w:rPr>
          <w:rFonts w:hint="eastAsia" w:ascii="Times New Roman" w:hAnsi="Times New Roman" w:eastAsia="宋体" w:cs="Times New Roman"/>
          <w:snapToGrid/>
          <w:color w:val="auto"/>
          <w:sz w:val="24"/>
          <w:szCs w:val="24"/>
          <w:highlight w:val="none"/>
          <w:lang w:eastAsia="zh-CN"/>
        </w:rPr>
        <w:t>国家数据分类分级保护要求</w:t>
      </w:r>
      <w:r>
        <w:rPr>
          <w:rFonts w:hint="eastAsia" w:ascii="Times New Roman" w:hAnsi="Times New Roman" w:eastAsia="宋体" w:cs="Times New Roman"/>
          <w:snapToGrid/>
          <w:color w:val="auto"/>
          <w:sz w:val="24"/>
          <w:szCs w:val="24"/>
          <w:highlight w:val="none"/>
          <w:lang w:val="en-US" w:eastAsia="zh-CN"/>
        </w:rPr>
        <w:t>做到彼此呼应</w:t>
      </w:r>
      <w:r>
        <w:rPr>
          <w:rFonts w:hint="eastAsia" w:ascii="Times New Roman" w:hAnsi="Times New Roman" w:eastAsia="宋体" w:cs="Times New Roman"/>
          <w:snapToGrid/>
          <w:color w:val="auto"/>
          <w:sz w:val="24"/>
          <w:szCs w:val="24"/>
          <w:highlight w:val="none"/>
        </w:rPr>
        <w:t>。</w:t>
      </w:r>
    </w:p>
    <w:p w14:paraId="1A048016">
      <w:pPr>
        <w:numPr>
          <w:ilvl w:val="0"/>
          <w:numId w:val="5"/>
        </w:numPr>
        <w:spacing w:line="360" w:lineRule="auto"/>
        <w:ind w:firstLine="482" w:firstLineChars="200"/>
        <w:jc w:val="both"/>
        <w:rPr>
          <w:b/>
          <w:color w:val="auto"/>
          <w:sz w:val="24"/>
          <w:szCs w:val="24"/>
          <w:highlight w:val="none"/>
        </w:rPr>
      </w:pPr>
      <w:r>
        <w:rPr>
          <w:rFonts w:hint="eastAsia" w:ascii="Times New Roman" w:hAnsi="Times New Roman" w:eastAsia="宋体" w:cs="Times New Roman"/>
          <w:b/>
          <w:color w:val="auto"/>
          <w:sz w:val="24"/>
          <w:szCs w:val="24"/>
          <w:highlight w:val="none"/>
        </w:rPr>
        <w:t xml:space="preserve">第5章 </w:t>
      </w:r>
      <w:r>
        <w:rPr>
          <w:rFonts w:hint="eastAsia" w:ascii="Times New Roman" w:hAnsi="Times New Roman" w:eastAsia="宋体" w:cs="Times New Roman"/>
          <w:b/>
          <w:color w:val="auto"/>
          <w:sz w:val="24"/>
          <w:szCs w:val="24"/>
          <w:highlight w:val="none"/>
          <w:lang w:val="en-US" w:eastAsia="zh-CN"/>
        </w:rPr>
        <w:t>数据</w:t>
      </w:r>
      <w:r>
        <w:rPr>
          <w:rFonts w:hint="eastAsia" w:ascii="Times New Roman" w:hAnsi="Times New Roman" w:eastAsia="宋体" w:cs="Times New Roman"/>
          <w:b/>
          <w:color w:val="auto"/>
          <w:sz w:val="24"/>
          <w:szCs w:val="24"/>
          <w:highlight w:val="none"/>
        </w:rPr>
        <w:t>分类</w:t>
      </w:r>
    </w:p>
    <w:p w14:paraId="04F26B98">
      <w:pPr>
        <w:spacing w:line="360" w:lineRule="auto"/>
        <w:ind w:firstLine="480" w:firstLineChars="200"/>
        <w:jc w:val="both"/>
        <w:rPr>
          <w:rFonts w:hint="eastAsia"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本章提出了智能汽车基础地图数据的分类</w:t>
      </w:r>
      <w:r>
        <w:rPr>
          <w:rFonts w:hint="eastAsia" w:ascii="Times New Roman" w:hAnsi="Times New Roman" w:eastAsia="宋体" w:cs="Times New Roman"/>
          <w:snapToGrid/>
          <w:color w:val="auto"/>
          <w:sz w:val="24"/>
          <w:szCs w:val="24"/>
          <w:highlight w:val="none"/>
          <w:lang w:val="en-US" w:eastAsia="zh-CN"/>
        </w:rPr>
        <w:t>框架</w:t>
      </w:r>
      <w:r>
        <w:rPr>
          <w:rFonts w:hint="eastAsia" w:ascii="Times New Roman" w:hAnsi="Times New Roman" w:eastAsia="宋体" w:cs="Times New Roman"/>
          <w:snapToGrid/>
          <w:color w:val="auto"/>
          <w:sz w:val="24"/>
          <w:szCs w:val="24"/>
          <w:highlight w:val="none"/>
        </w:rPr>
        <w:t>及其对应规则，</w:t>
      </w:r>
      <w:r>
        <w:rPr>
          <w:rFonts w:hint="eastAsia" w:ascii="Times New Roman" w:hAnsi="Times New Roman" w:eastAsia="宋体" w:cs="Times New Roman"/>
          <w:snapToGrid/>
          <w:color w:val="auto"/>
          <w:sz w:val="24"/>
          <w:szCs w:val="24"/>
          <w:highlight w:val="none"/>
          <w:lang w:val="en-US" w:eastAsia="zh-CN"/>
        </w:rPr>
        <w:t>参照《数据安全技术 数据分类分级规则》（GB/T 43697-2024）中“数据分类可根据数据管理和使用需求……灵活选择业务属性将数据细化分类”的数据分类方法，以及《地理信息数据分类分级工作指南（试行）》</w:t>
      </w:r>
      <w:r>
        <w:rPr>
          <w:rFonts w:hint="eastAsia" w:cs="Times New Roman"/>
          <w:snapToGrid/>
          <w:color w:val="auto"/>
          <w:sz w:val="24"/>
          <w:szCs w:val="28"/>
          <w:highlight w:val="none"/>
          <w:lang w:val="en-US" w:eastAsia="zh-CN" w:bidi="ar-SA"/>
        </w:rPr>
        <w:t>（自然资办发</w:t>
      </w:r>
      <w:r>
        <w:rPr>
          <w:rFonts w:hint="default" w:ascii="Times New Roman" w:hAnsi="Times New Roman" w:cs="Times New Roman"/>
          <w:snapToGrid/>
          <w:color w:val="auto"/>
          <w:sz w:val="24"/>
          <w:szCs w:val="28"/>
          <w:highlight w:val="none"/>
          <w:lang w:val="en-US" w:eastAsia="zh-CN" w:bidi="ar-SA"/>
        </w:rPr>
        <w:t>〔2025〕11</w:t>
      </w:r>
      <w:r>
        <w:rPr>
          <w:rFonts w:hint="eastAsia" w:cs="Times New Roman"/>
          <w:snapToGrid/>
          <w:color w:val="auto"/>
          <w:sz w:val="24"/>
          <w:szCs w:val="28"/>
          <w:highlight w:val="none"/>
          <w:lang w:val="en-US" w:eastAsia="zh-CN" w:bidi="ar-SA"/>
        </w:rPr>
        <w:t>号）</w:t>
      </w:r>
      <w:r>
        <w:rPr>
          <w:rFonts w:hint="eastAsia" w:ascii="Times New Roman" w:hAnsi="Times New Roman" w:eastAsia="宋体" w:cs="Times New Roman"/>
          <w:snapToGrid/>
          <w:color w:val="auto"/>
          <w:sz w:val="24"/>
          <w:szCs w:val="24"/>
          <w:highlight w:val="none"/>
          <w:lang w:val="en-US" w:eastAsia="zh-CN"/>
        </w:rPr>
        <w:t>中“便于</w:t>
      </w:r>
      <w:r>
        <w:rPr>
          <w:rFonts w:hint="eastAsia" w:ascii="Times New Roman" w:hAnsi="Times New Roman" w:eastAsia="宋体" w:cs="Times New Roman"/>
          <w:snapToGrid/>
          <w:color w:val="auto"/>
          <w:sz w:val="24"/>
          <w:szCs w:val="24"/>
          <w:highlight w:val="none"/>
        </w:rPr>
        <w:t>数据管理和使用</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的有关要求，</w:t>
      </w:r>
      <w:r>
        <w:rPr>
          <w:rFonts w:hint="eastAsia" w:ascii="Times New Roman" w:hAnsi="Times New Roman" w:eastAsia="宋体" w:cs="Times New Roman"/>
          <w:snapToGrid/>
          <w:color w:val="auto"/>
          <w:sz w:val="24"/>
          <w:szCs w:val="24"/>
          <w:highlight w:val="none"/>
        </w:rPr>
        <w:t>根据智能汽车基础地图数据</w:t>
      </w:r>
      <w:r>
        <w:rPr>
          <w:rFonts w:hint="eastAsia" w:ascii="Times New Roman" w:hAnsi="Times New Roman" w:eastAsia="宋体" w:cs="Times New Roman"/>
          <w:snapToGrid/>
          <w:color w:val="auto"/>
          <w:sz w:val="24"/>
          <w:szCs w:val="24"/>
          <w:highlight w:val="none"/>
          <w:lang w:eastAsia="zh-CN"/>
        </w:rPr>
        <w:t>的常见业务属性，选择“流程环节”这一业务属性视角</w:t>
      </w:r>
      <w:r>
        <w:rPr>
          <w:rFonts w:hint="eastAsia" w:ascii="Times New Roman" w:hAnsi="Times New Roman" w:eastAsia="宋体" w:cs="Times New Roman"/>
          <w:snapToGrid/>
          <w:color w:val="auto"/>
          <w:sz w:val="24"/>
          <w:szCs w:val="24"/>
          <w:highlight w:val="none"/>
        </w:rPr>
        <w:t>进行分类</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相关测绘资质单位应结合《自然资源部关于印发测绘资质管理办法和测绘资质分类分级标准的通知》（</w:t>
      </w:r>
      <w:r>
        <w:rPr>
          <w:rFonts w:hint="eastAsia" w:cs="Times New Roman"/>
          <w:snapToGrid/>
          <w:color w:val="auto"/>
          <w:sz w:val="24"/>
          <w:szCs w:val="28"/>
          <w:highlight w:val="none"/>
          <w:lang w:val="en-US" w:eastAsia="zh-CN" w:bidi="ar-SA"/>
        </w:rPr>
        <w:t>自然资办发</w:t>
      </w:r>
      <w:r>
        <w:rPr>
          <w:rFonts w:hint="default" w:ascii="Times New Roman" w:hAnsi="Times New Roman" w:cs="Times New Roman"/>
          <w:snapToGrid/>
          <w:color w:val="auto"/>
          <w:sz w:val="24"/>
          <w:szCs w:val="28"/>
          <w:highlight w:val="none"/>
          <w:lang w:val="en-US" w:eastAsia="zh-CN" w:bidi="ar-SA"/>
        </w:rPr>
        <w:t>〔202</w:t>
      </w:r>
      <w:r>
        <w:rPr>
          <w:rFonts w:hint="eastAsia" w:ascii="Times New Roman" w:hAnsi="Times New Roman" w:cs="Times New Roman"/>
          <w:snapToGrid/>
          <w:color w:val="auto"/>
          <w:sz w:val="24"/>
          <w:szCs w:val="28"/>
          <w:highlight w:val="none"/>
          <w:lang w:val="en-US" w:eastAsia="zh-CN" w:bidi="ar-SA"/>
        </w:rPr>
        <w:t>1</w:t>
      </w:r>
      <w:r>
        <w:rPr>
          <w:rFonts w:hint="default" w:ascii="Times New Roman" w:hAnsi="Times New Roman" w:cs="Times New Roman"/>
          <w:snapToGrid/>
          <w:color w:val="auto"/>
          <w:sz w:val="24"/>
          <w:szCs w:val="28"/>
          <w:highlight w:val="none"/>
          <w:lang w:val="en-US" w:eastAsia="zh-CN" w:bidi="ar-SA"/>
        </w:rPr>
        <w:t>〕</w:t>
      </w:r>
      <w:r>
        <w:rPr>
          <w:rFonts w:hint="eastAsia" w:ascii="Times New Roman" w:hAnsi="Times New Roman" w:cs="Times New Roman"/>
          <w:snapToGrid/>
          <w:color w:val="auto"/>
          <w:sz w:val="24"/>
          <w:szCs w:val="28"/>
          <w:highlight w:val="none"/>
          <w:lang w:val="en-US" w:eastAsia="zh-CN" w:bidi="ar-SA"/>
        </w:rPr>
        <w:t>43</w:t>
      </w:r>
      <w:r>
        <w:rPr>
          <w:rFonts w:hint="eastAsia" w:cs="Times New Roman"/>
          <w:snapToGrid/>
          <w:color w:val="auto"/>
          <w:sz w:val="24"/>
          <w:szCs w:val="28"/>
          <w:highlight w:val="none"/>
          <w:lang w:val="en-US" w:eastAsia="zh-CN" w:bidi="ar-SA"/>
        </w:rPr>
        <w:t>号</w:t>
      </w:r>
      <w:r>
        <w:rPr>
          <w:rFonts w:hint="eastAsia" w:ascii="Times New Roman" w:hAnsi="Times New Roman" w:eastAsia="宋体" w:cs="Times New Roman"/>
          <w:snapToGrid/>
          <w:color w:val="auto"/>
          <w:sz w:val="24"/>
          <w:szCs w:val="24"/>
          <w:highlight w:val="none"/>
          <w:lang w:val="en-US" w:eastAsia="zh-CN"/>
        </w:rPr>
        <w:t>）的有关规定具体执行</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具体来说，涉及</w:t>
      </w:r>
      <w:r>
        <w:rPr>
          <w:rFonts w:hint="eastAsia" w:ascii="Times New Roman" w:hAnsi="Times New Roman" w:eastAsia="宋体" w:cs="Times New Roman"/>
          <w:snapToGrid/>
          <w:color w:val="auto"/>
          <w:sz w:val="24"/>
          <w:szCs w:val="24"/>
          <w:highlight w:val="none"/>
        </w:rPr>
        <w:t>采集上传、更新处理和服务分发</w:t>
      </w:r>
      <w:r>
        <w:rPr>
          <w:rFonts w:hint="eastAsia" w:ascii="Times New Roman" w:hAnsi="Times New Roman" w:eastAsia="宋体" w:cs="Times New Roman"/>
          <w:snapToGrid/>
          <w:color w:val="auto"/>
          <w:sz w:val="24"/>
          <w:szCs w:val="24"/>
          <w:highlight w:val="none"/>
          <w:lang w:val="en-US" w:eastAsia="zh-CN"/>
        </w:rPr>
        <w:t>所对应的</w:t>
      </w:r>
      <w:r>
        <w:rPr>
          <w:rFonts w:hint="eastAsia" w:ascii="Times New Roman" w:hAnsi="Times New Roman" w:eastAsia="宋体" w:cs="Times New Roman"/>
          <w:snapToGrid/>
          <w:color w:val="auto"/>
          <w:sz w:val="24"/>
          <w:szCs w:val="24"/>
          <w:highlight w:val="none"/>
        </w:rPr>
        <w:t>轨迹类数据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影像类数据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点云类数据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惯导类数据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构图类数据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产品库数据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以及后续</w:t>
      </w:r>
      <w:r>
        <w:rPr>
          <w:rFonts w:hint="eastAsia" w:ascii="Times New Roman" w:hAnsi="Times New Roman" w:eastAsia="宋体" w:cs="Times New Roman"/>
          <w:snapToGrid/>
          <w:color w:val="auto"/>
          <w:sz w:val="24"/>
          <w:szCs w:val="24"/>
          <w:highlight w:val="none"/>
        </w:rPr>
        <w:t>标准导航电子地图产品数据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高级辅助驾驶地图</w:t>
      </w:r>
      <w:r>
        <w:rPr>
          <w:rFonts w:hint="eastAsia" w:ascii="Times New Roman" w:hAnsi="Times New Roman" w:eastAsia="宋体" w:cs="Times New Roman"/>
          <w:snapToGrid/>
          <w:color w:val="auto"/>
          <w:sz w:val="24"/>
          <w:szCs w:val="24"/>
          <w:highlight w:val="none"/>
          <w:lang w:val="en-US" w:eastAsia="zh-CN"/>
        </w:rPr>
        <w:t>产品</w:t>
      </w:r>
      <w:r>
        <w:rPr>
          <w:rFonts w:hint="eastAsia" w:ascii="Times New Roman" w:hAnsi="Times New Roman" w:eastAsia="宋体" w:cs="Times New Roman"/>
          <w:snapToGrid/>
          <w:color w:val="auto"/>
          <w:sz w:val="24"/>
          <w:szCs w:val="24"/>
          <w:highlight w:val="none"/>
        </w:rPr>
        <w:t>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高级别自动驾驶地图</w:t>
      </w:r>
      <w:r>
        <w:rPr>
          <w:rFonts w:hint="eastAsia" w:ascii="Times New Roman" w:hAnsi="Times New Roman" w:eastAsia="宋体" w:cs="Times New Roman"/>
          <w:snapToGrid/>
          <w:color w:val="auto"/>
          <w:sz w:val="24"/>
          <w:szCs w:val="24"/>
          <w:highlight w:val="none"/>
          <w:lang w:val="en-US" w:eastAsia="zh-CN"/>
        </w:rPr>
        <w:t>产品</w:t>
      </w:r>
      <w:r>
        <w:rPr>
          <w:rFonts w:hint="eastAsia" w:ascii="Times New Roman" w:hAnsi="Times New Roman" w:eastAsia="宋体" w:cs="Times New Roman"/>
          <w:snapToGrid/>
          <w:color w:val="auto"/>
          <w:sz w:val="24"/>
          <w:szCs w:val="24"/>
          <w:highlight w:val="none"/>
        </w:rPr>
        <w:t>数据</w:t>
      </w:r>
      <w:r>
        <w:rPr>
          <w:rFonts w:hint="eastAsia" w:ascii="Times New Roman" w:hAnsi="Times New Roman" w:eastAsia="宋体" w:cs="Times New Roman"/>
          <w:snapToGrid/>
          <w:color w:val="auto"/>
          <w:sz w:val="24"/>
          <w:szCs w:val="24"/>
          <w:highlight w:val="none"/>
          <w:lang w:val="en-US" w:eastAsia="zh-CN"/>
        </w:rPr>
        <w:t>和</w:t>
      </w:r>
      <w:r>
        <w:rPr>
          <w:rFonts w:hint="eastAsia" w:ascii="Times New Roman" w:hAnsi="Times New Roman" w:eastAsia="宋体" w:cs="Times New Roman"/>
          <w:snapToGrid/>
          <w:color w:val="auto"/>
          <w:sz w:val="24"/>
          <w:szCs w:val="24"/>
          <w:highlight w:val="none"/>
        </w:rPr>
        <w:t>其他数据</w:t>
      </w:r>
      <w:r>
        <w:rPr>
          <w:rFonts w:hint="eastAsia" w:ascii="Times New Roman" w:hAnsi="Times New Roman" w:eastAsia="宋体" w:cs="Times New Roman"/>
          <w:snapToGrid/>
          <w:color w:val="auto"/>
          <w:sz w:val="24"/>
          <w:szCs w:val="24"/>
          <w:highlight w:val="none"/>
          <w:lang w:val="en-US" w:eastAsia="zh-CN"/>
        </w:rPr>
        <w:t>等10</w:t>
      </w:r>
      <w:r>
        <w:rPr>
          <w:rFonts w:hint="eastAsia" w:ascii="Times New Roman" w:hAnsi="Times New Roman" w:eastAsia="宋体" w:cs="Times New Roman"/>
          <w:snapToGrid/>
          <w:color w:val="auto"/>
          <w:sz w:val="24"/>
          <w:szCs w:val="24"/>
          <w:highlight w:val="none"/>
        </w:rPr>
        <w:t>个</w:t>
      </w:r>
      <w:r>
        <w:rPr>
          <w:rFonts w:hint="eastAsia" w:ascii="Times New Roman" w:hAnsi="Times New Roman" w:eastAsia="宋体" w:cs="Times New Roman"/>
          <w:snapToGrid/>
          <w:color w:val="auto"/>
          <w:sz w:val="24"/>
          <w:szCs w:val="24"/>
          <w:highlight w:val="none"/>
          <w:lang w:val="en-US" w:eastAsia="zh-CN"/>
        </w:rPr>
        <w:t>细分类目</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此外，</w:t>
      </w:r>
      <w:r>
        <w:rPr>
          <w:rFonts w:hint="eastAsia" w:ascii="Times New Roman" w:hAnsi="Times New Roman" w:eastAsia="宋体" w:cs="Times New Roman"/>
          <w:snapToGrid/>
          <w:color w:val="auto"/>
          <w:sz w:val="24"/>
          <w:szCs w:val="24"/>
          <w:highlight w:val="none"/>
        </w:rPr>
        <w:t>上述数据均为采用国家认定的地理信息保密处理技术完成处理后的数据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其</w:t>
      </w:r>
      <w:r>
        <w:rPr>
          <w:rFonts w:hint="eastAsia" w:ascii="Times New Roman" w:hAnsi="Times New Roman" w:eastAsia="宋体" w:cs="Times New Roman"/>
          <w:snapToGrid/>
          <w:color w:val="auto"/>
          <w:sz w:val="24"/>
          <w:szCs w:val="24"/>
          <w:highlight w:val="none"/>
        </w:rPr>
        <w:t>表现地均为中华人民共和国境内。</w:t>
      </w:r>
    </w:p>
    <w:p w14:paraId="0FB9F14E">
      <w:pPr>
        <w:spacing w:line="360" w:lineRule="auto"/>
        <w:ind w:firstLine="480" w:firstLineChars="200"/>
        <w:jc w:val="both"/>
        <w:rPr>
          <w:rFonts w:ascii="Times New Roman" w:hAnsi="Times New Roman" w:eastAsia="宋体" w:cs="Times New Roman"/>
          <w:snapToGrid/>
          <w:color w:val="auto"/>
          <w:sz w:val="24"/>
          <w:szCs w:val="24"/>
          <w:highlight w:val="none"/>
        </w:rPr>
      </w:pPr>
      <w:r>
        <w:rPr>
          <w:rFonts w:hint="eastAsia" w:ascii="Times New Roman" w:hAnsi="Times New Roman" w:eastAsia="宋体" w:cs="Times New Roman"/>
          <w:snapToGrid/>
          <w:color w:val="auto"/>
          <w:sz w:val="24"/>
          <w:szCs w:val="24"/>
          <w:highlight w:val="none"/>
        </w:rPr>
        <w:t>具体来说，</w:t>
      </w:r>
      <w:r>
        <w:rPr>
          <w:rFonts w:hint="eastAsia" w:ascii="Times New Roman" w:hAnsi="Times New Roman" w:eastAsia="宋体" w:cs="Times New Roman"/>
          <w:snapToGrid/>
          <w:color w:val="auto"/>
          <w:sz w:val="24"/>
          <w:szCs w:val="24"/>
          <w:highlight w:val="none"/>
          <w:lang w:val="en-US" w:eastAsia="zh-CN"/>
        </w:rPr>
        <w:t>采集上传主要涉及智能汽车时空数据传感器采集并传输给地图专有平台的地理信息数据，包括轨迹类数据、影像类数据、点云类数据、惯导类数据和构图类数据等《智能网联汽车时空数据安全处理基本要求》（GB XXXXX—XXXX）和《智能网联汽车时空数据传感系统安全基本要求》（</w:t>
      </w:r>
      <w:r>
        <w:rPr>
          <w:rFonts w:hint="eastAsia" w:ascii="Times New Roman" w:hAnsi="Times New Roman" w:eastAsia="宋体" w:cs="Times New Roman"/>
          <w:snapToGrid/>
          <w:color w:val="auto"/>
          <w:sz w:val="24"/>
          <w:szCs w:val="24"/>
          <w:highlight w:val="none"/>
          <w:lang w:eastAsia="zh-CN"/>
        </w:rPr>
        <w:t>GB XXXXX—XXXX）</w:t>
      </w:r>
      <w:r>
        <w:rPr>
          <w:rFonts w:hint="eastAsia" w:ascii="Times New Roman" w:hAnsi="Times New Roman" w:eastAsia="宋体" w:cs="Times New Roman"/>
          <w:snapToGrid/>
          <w:color w:val="auto"/>
          <w:sz w:val="24"/>
          <w:szCs w:val="24"/>
          <w:highlight w:val="none"/>
          <w:lang w:val="en-US" w:eastAsia="zh-CN"/>
        </w:rPr>
        <w:t>中明确的数据类型，参照《地理信息数据分类分级工作指南（试行）》</w:t>
      </w:r>
      <w:r>
        <w:rPr>
          <w:rFonts w:hint="eastAsia" w:cs="Times New Roman"/>
          <w:snapToGrid/>
          <w:color w:val="auto"/>
          <w:sz w:val="24"/>
          <w:szCs w:val="28"/>
          <w:highlight w:val="none"/>
          <w:lang w:val="en-US" w:eastAsia="zh-CN" w:bidi="ar-SA"/>
        </w:rPr>
        <w:t>（自然资办</w:t>
      </w:r>
      <w:r>
        <w:rPr>
          <w:rFonts w:hint="default" w:ascii="Times New Roman" w:hAnsi="Times New Roman" w:cs="Times New Roman"/>
          <w:snapToGrid/>
          <w:color w:val="auto"/>
          <w:sz w:val="24"/>
          <w:szCs w:val="28"/>
          <w:highlight w:val="none"/>
          <w:lang w:val="en-US" w:eastAsia="zh-CN" w:bidi="ar-SA"/>
        </w:rPr>
        <w:t>发〔2025〕11</w:t>
      </w:r>
      <w:r>
        <w:rPr>
          <w:rFonts w:hint="eastAsia" w:cs="Times New Roman"/>
          <w:snapToGrid/>
          <w:color w:val="auto"/>
          <w:sz w:val="24"/>
          <w:szCs w:val="28"/>
          <w:highlight w:val="none"/>
          <w:lang w:val="en-US" w:eastAsia="zh-CN" w:bidi="ar-SA"/>
        </w:rPr>
        <w:t>号）</w:t>
      </w:r>
      <w:r>
        <w:rPr>
          <w:rFonts w:hint="eastAsia" w:ascii="Times New Roman" w:hAnsi="Times New Roman" w:eastAsia="宋体" w:cs="Times New Roman"/>
          <w:snapToGrid/>
          <w:color w:val="auto"/>
          <w:sz w:val="24"/>
          <w:szCs w:val="24"/>
          <w:highlight w:val="none"/>
          <w:lang w:val="en-US" w:eastAsia="zh-CN"/>
        </w:rPr>
        <w:t>中的“地理信息数据分类表”，即“地面遥感平台（如车载街景、车载LiDAR等）平台获取的图像数据”，影像类数据和点云类数据则对应该文件中的“遥感影像数据”，而轨迹类数据、惯导类数据和构图类数据则对应交通运输以及其他交叉领域的“专题地理信息数据”；更新处理主要涉及地图专有平台内的产品库数据，作为采集上传的后续环节，其涵盖要素集更新和区块级更新等多种方式，对应数据类型来自即将报批的《道路高精导航电子地图数据更新技术规范》（CH/T XXXXX—XXXX），服务分发则涉及标准导航电子地图产品数据、高级辅助驾驶地图产品数据、高级别自动驾驶地图产品数据等支撑各级别汽车驾驶自动化功能的导航电子地图数据，以及用于描述和模拟自动驾驶车辆运行环境的其他数据，参照《地理信息数据分类分级工作指南（试行）》</w:t>
      </w:r>
      <w:r>
        <w:rPr>
          <w:rFonts w:hint="eastAsia" w:cs="Times New Roman"/>
          <w:snapToGrid/>
          <w:color w:val="auto"/>
          <w:sz w:val="24"/>
          <w:szCs w:val="28"/>
          <w:highlight w:val="none"/>
          <w:lang w:val="en-US" w:eastAsia="zh-CN" w:bidi="ar-SA"/>
        </w:rPr>
        <w:t>（自然资办发</w:t>
      </w:r>
      <w:r>
        <w:rPr>
          <w:rFonts w:hint="default" w:ascii="Times New Roman" w:hAnsi="Times New Roman" w:cs="Times New Roman"/>
          <w:snapToGrid/>
          <w:color w:val="auto"/>
          <w:sz w:val="24"/>
          <w:szCs w:val="28"/>
          <w:highlight w:val="none"/>
          <w:lang w:val="en-US" w:eastAsia="zh-CN" w:bidi="ar-SA"/>
        </w:rPr>
        <w:t>〔2025〕11号</w:t>
      </w:r>
      <w:r>
        <w:rPr>
          <w:rFonts w:hint="eastAsia" w:cs="Times New Roman"/>
          <w:snapToGrid/>
          <w:color w:val="auto"/>
          <w:sz w:val="24"/>
          <w:szCs w:val="28"/>
          <w:highlight w:val="none"/>
          <w:lang w:val="en-US" w:eastAsia="zh-CN" w:bidi="ar-SA"/>
        </w:rPr>
        <w:t>）</w:t>
      </w:r>
      <w:r>
        <w:rPr>
          <w:rFonts w:hint="eastAsia" w:ascii="Times New Roman" w:hAnsi="Times New Roman" w:eastAsia="宋体" w:cs="Times New Roman"/>
          <w:snapToGrid/>
          <w:color w:val="auto"/>
          <w:sz w:val="24"/>
          <w:szCs w:val="24"/>
          <w:highlight w:val="none"/>
          <w:lang w:val="en-US" w:eastAsia="zh-CN"/>
        </w:rPr>
        <w:t>中数据分类规则，对应地理信息与交通运输以及其他领域交叉的“专题地理信息数据”。此外，上述数据分类规则也符合</w:t>
      </w:r>
      <w:r>
        <w:rPr>
          <w:rFonts w:hint="eastAsia" w:ascii="Times New Roman" w:hAnsi="Times New Roman" w:eastAsia="宋体" w:cs="Times New Roman"/>
          <w:snapToGrid/>
          <w:color w:val="auto"/>
          <w:sz w:val="24"/>
          <w:szCs w:val="24"/>
          <w:highlight w:val="none"/>
        </w:rPr>
        <w:t>工业和信息化部</w:t>
      </w:r>
      <w:r>
        <w:rPr>
          <w:rFonts w:hint="eastAsia" w:ascii="Times New Roman" w:hAnsi="Times New Roman" w:eastAsia="宋体" w:cs="Times New Roman"/>
          <w:snapToGrid/>
          <w:color w:val="auto"/>
          <w:sz w:val="24"/>
          <w:szCs w:val="24"/>
          <w:highlight w:val="none"/>
          <w:lang w:val="en-US" w:eastAsia="zh-CN"/>
        </w:rPr>
        <w:t>和自然资源部</w:t>
      </w:r>
      <w:r>
        <w:rPr>
          <w:rFonts w:hint="eastAsia" w:ascii="Times New Roman" w:hAnsi="Times New Roman" w:eastAsia="宋体" w:cs="Times New Roman"/>
          <w:snapToGrid/>
          <w:color w:val="auto"/>
          <w:sz w:val="24"/>
          <w:szCs w:val="24"/>
          <w:highlight w:val="none"/>
        </w:rPr>
        <w:t>等</w:t>
      </w:r>
      <w:r>
        <w:rPr>
          <w:rFonts w:hint="eastAsia" w:ascii="Times New Roman" w:hAnsi="Times New Roman" w:eastAsia="宋体" w:cs="Times New Roman"/>
          <w:snapToGrid/>
          <w:color w:val="auto"/>
          <w:sz w:val="24"/>
          <w:szCs w:val="24"/>
          <w:highlight w:val="none"/>
          <w:lang w:val="en-US" w:eastAsia="zh-CN"/>
        </w:rPr>
        <w:t>多</w:t>
      </w:r>
      <w:r>
        <w:rPr>
          <w:rFonts w:hint="eastAsia" w:ascii="Times New Roman" w:hAnsi="Times New Roman" w:eastAsia="宋体" w:cs="Times New Roman"/>
          <w:snapToGrid/>
          <w:color w:val="auto"/>
          <w:sz w:val="24"/>
          <w:szCs w:val="24"/>
          <w:highlight w:val="none"/>
        </w:rPr>
        <w:t>部委</w:t>
      </w:r>
      <w:r>
        <w:rPr>
          <w:rFonts w:hint="eastAsia" w:ascii="Times New Roman" w:hAnsi="Times New Roman" w:eastAsia="宋体" w:cs="Times New Roman"/>
          <w:snapToGrid/>
          <w:color w:val="auto"/>
          <w:sz w:val="24"/>
          <w:szCs w:val="24"/>
          <w:highlight w:val="none"/>
          <w:lang w:val="en-US" w:eastAsia="zh-CN"/>
        </w:rPr>
        <w:t>联合开展的“</w:t>
      </w:r>
      <w:r>
        <w:rPr>
          <w:rFonts w:hint="eastAsia" w:ascii="Times New Roman" w:hAnsi="Times New Roman" w:eastAsia="宋体" w:cs="Times New Roman"/>
          <w:snapToGrid/>
          <w:color w:val="auto"/>
          <w:sz w:val="24"/>
          <w:szCs w:val="24"/>
          <w:highlight w:val="none"/>
          <w:lang w:eastAsia="zh-CN"/>
        </w:rPr>
        <w:t>联网汽车运行及自动驾驶重要数据识别指引”</w:t>
      </w:r>
      <w:r>
        <w:rPr>
          <w:rFonts w:hint="eastAsia" w:ascii="Times New Roman" w:hAnsi="Times New Roman" w:eastAsia="宋体" w:cs="Times New Roman"/>
          <w:snapToGrid/>
          <w:color w:val="auto"/>
          <w:sz w:val="24"/>
          <w:szCs w:val="24"/>
          <w:highlight w:val="none"/>
          <w:lang w:val="en-US" w:eastAsia="zh-CN"/>
        </w:rPr>
        <w:t>的工作要求</w:t>
      </w:r>
      <w:r>
        <w:rPr>
          <w:rFonts w:hint="eastAsia" w:ascii="Times New Roman" w:hAnsi="Times New Roman" w:eastAsia="宋体" w:cs="Times New Roman"/>
          <w:snapToGrid/>
          <w:color w:val="auto"/>
          <w:sz w:val="24"/>
          <w:szCs w:val="24"/>
          <w:highlight w:val="none"/>
        </w:rPr>
        <w:t>。</w:t>
      </w:r>
    </w:p>
    <w:p w14:paraId="6B6AEAF7">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 xml:space="preserve">第6章 </w:t>
      </w:r>
      <w:r>
        <w:rPr>
          <w:rFonts w:hint="eastAsia" w:ascii="Times New Roman" w:hAnsi="Times New Roman" w:eastAsia="宋体" w:cs="Times New Roman"/>
          <w:b/>
          <w:color w:val="auto"/>
          <w:sz w:val="24"/>
          <w:szCs w:val="24"/>
          <w:highlight w:val="none"/>
          <w:lang w:val="en-US" w:eastAsia="zh-CN"/>
        </w:rPr>
        <w:t>数据</w:t>
      </w:r>
      <w:r>
        <w:rPr>
          <w:rFonts w:hint="eastAsia" w:ascii="Times New Roman" w:hAnsi="Times New Roman" w:eastAsia="宋体" w:cs="Times New Roman"/>
          <w:b/>
          <w:color w:val="auto"/>
          <w:sz w:val="24"/>
          <w:szCs w:val="24"/>
          <w:highlight w:val="none"/>
        </w:rPr>
        <w:t>分级</w:t>
      </w:r>
    </w:p>
    <w:p w14:paraId="07121CA7">
      <w:pPr>
        <w:spacing w:line="360" w:lineRule="auto"/>
        <w:ind w:firstLine="480" w:firstLineChars="200"/>
        <w:jc w:val="both"/>
        <w:rPr>
          <w:rFonts w:hint="eastAsia" w:ascii="Times New Roman" w:hAnsi="Times New Roman" w:eastAsia="宋体" w:cs="Times New Roman"/>
          <w:snapToGrid/>
          <w:color w:val="auto"/>
          <w:sz w:val="24"/>
          <w:szCs w:val="24"/>
          <w:highlight w:val="none"/>
          <w:lang w:val="en-US" w:eastAsia="zh-CN"/>
        </w:rPr>
      </w:pPr>
      <w:r>
        <w:rPr>
          <w:rFonts w:hint="eastAsia" w:ascii="Times New Roman" w:hAnsi="Times New Roman" w:eastAsia="宋体" w:cs="Times New Roman"/>
          <w:snapToGrid/>
          <w:color w:val="auto"/>
          <w:sz w:val="24"/>
          <w:szCs w:val="24"/>
          <w:highlight w:val="none"/>
        </w:rPr>
        <w:t>本章提出了智能汽车基础地图数据的分级</w:t>
      </w:r>
      <w:r>
        <w:rPr>
          <w:rFonts w:hint="eastAsia" w:ascii="Times New Roman" w:hAnsi="Times New Roman" w:eastAsia="宋体" w:cs="Times New Roman"/>
          <w:snapToGrid/>
          <w:color w:val="auto"/>
          <w:sz w:val="24"/>
          <w:szCs w:val="24"/>
          <w:highlight w:val="none"/>
          <w:lang w:val="en-US" w:eastAsia="zh-CN"/>
        </w:rPr>
        <w:t>框架、分级要素、影响分析</w:t>
      </w:r>
      <w:r>
        <w:rPr>
          <w:rFonts w:hint="eastAsia" w:ascii="Times New Roman" w:hAnsi="Times New Roman" w:eastAsia="宋体" w:cs="Times New Roman"/>
          <w:snapToGrid/>
          <w:color w:val="auto"/>
          <w:sz w:val="24"/>
          <w:szCs w:val="24"/>
          <w:highlight w:val="none"/>
        </w:rPr>
        <w:t>及其对应</w:t>
      </w:r>
      <w:r>
        <w:rPr>
          <w:rFonts w:hint="eastAsia" w:ascii="Times New Roman" w:hAnsi="Times New Roman" w:eastAsia="宋体" w:cs="Times New Roman"/>
          <w:snapToGrid/>
          <w:color w:val="auto"/>
          <w:sz w:val="24"/>
          <w:szCs w:val="24"/>
          <w:highlight w:val="none"/>
          <w:lang w:val="en-US" w:eastAsia="zh-CN"/>
        </w:rPr>
        <w:t>级别确定</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参照《地理信息数据分类分级工作指南（试行）》</w:t>
      </w:r>
      <w:r>
        <w:rPr>
          <w:rFonts w:hint="eastAsia" w:cs="Times New Roman"/>
          <w:snapToGrid/>
          <w:color w:val="auto"/>
          <w:sz w:val="24"/>
          <w:szCs w:val="28"/>
          <w:highlight w:val="none"/>
          <w:lang w:val="en-US" w:eastAsia="zh-CN" w:bidi="ar-SA"/>
        </w:rPr>
        <w:t>（自然资办发〔</w:t>
      </w:r>
      <w:r>
        <w:rPr>
          <w:rFonts w:hint="default" w:ascii="Times New Roman" w:hAnsi="Times New Roman" w:eastAsia="GulimChe" w:cs="Times New Roman"/>
          <w:snapToGrid/>
          <w:color w:val="auto"/>
          <w:sz w:val="24"/>
          <w:szCs w:val="28"/>
          <w:highlight w:val="none"/>
          <w:lang w:val="en-US" w:eastAsia="zh-CN" w:bidi="ar-SA"/>
        </w:rPr>
        <w:t>2025</w:t>
      </w:r>
      <w:r>
        <w:rPr>
          <w:rFonts w:hint="eastAsia" w:cs="Times New Roman"/>
          <w:snapToGrid/>
          <w:color w:val="auto"/>
          <w:sz w:val="24"/>
          <w:szCs w:val="28"/>
          <w:highlight w:val="none"/>
          <w:lang w:val="en-US" w:eastAsia="zh-CN" w:bidi="ar-SA"/>
        </w:rPr>
        <w:t>〕</w:t>
      </w:r>
      <w:r>
        <w:rPr>
          <w:rFonts w:hint="default" w:ascii="Times New Roman" w:hAnsi="Times New Roman" w:cs="Times New Roman"/>
          <w:snapToGrid/>
          <w:color w:val="auto"/>
          <w:sz w:val="24"/>
          <w:szCs w:val="28"/>
          <w:highlight w:val="none"/>
          <w:lang w:val="en-US" w:eastAsia="zh-CN" w:bidi="ar-SA"/>
        </w:rPr>
        <w:t>11</w:t>
      </w:r>
      <w:r>
        <w:rPr>
          <w:rFonts w:hint="eastAsia" w:cs="Times New Roman"/>
          <w:snapToGrid/>
          <w:color w:val="auto"/>
          <w:sz w:val="24"/>
          <w:szCs w:val="28"/>
          <w:highlight w:val="none"/>
          <w:lang w:val="en-US" w:eastAsia="zh-CN" w:bidi="ar-SA"/>
        </w:rPr>
        <w:t>号）</w:t>
      </w:r>
      <w:r>
        <w:rPr>
          <w:rFonts w:hint="eastAsia" w:ascii="Times New Roman" w:hAnsi="Times New Roman" w:eastAsia="宋体" w:cs="Times New Roman"/>
          <w:snapToGrid/>
          <w:color w:val="auto"/>
          <w:sz w:val="24"/>
          <w:szCs w:val="24"/>
          <w:highlight w:val="none"/>
          <w:lang w:val="en-US" w:eastAsia="zh-CN"/>
        </w:rPr>
        <w:t>和</w:t>
      </w:r>
      <w:r>
        <w:rPr>
          <w:rFonts w:hint="eastAsia" w:ascii="Times New Roman" w:hAnsi="Times New Roman" w:eastAsia="宋体" w:cs="Times New Roman"/>
          <w:snapToGrid/>
          <w:color w:val="auto"/>
          <w:sz w:val="24"/>
          <w:szCs w:val="24"/>
          <w:highlight w:val="none"/>
          <w:lang w:eastAsia="zh-CN"/>
        </w:rPr>
        <w:t>GB/T 43697规定的</w:t>
      </w:r>
      <w:r>
        <w:rPr>
          <w:rFonts w:hint="eastAsia" w:ascii="Times New Roman" w:hAnsi="Times New Roman" w:eastAsia="宋体" w:cs="Times New Roman"/>
          <w:snapToGrid/>
          <w:color w:val="auto"/>
          <w:sz w:val="24"/>
          <w:szCs w:val="24"/>
          <w:highlight w:val="none"/>
          <w:lang w:val="en-US" w:eastAsia="zh-CN"/>
        </w:rPr>
        <w:t>数据分级原则，</w:t>
      </w:r>
      <w:r>
        <w:rPr>
          <w:rFonts w:hint="eastAsia" w:ascii="Times New Roman" w:hAnsi="Times New Roman" w:eastAsia="宋体" w:cs="Times New Roman"/>
          <w:snapToGrid/>
          <w:color w:val="auto"/>
          <w:sz w:val="24"/>
          <w:szCs w:val="24"/>
          <w:highlight w:val="none"/>
        </w:rPr>
        <w:t>结合智能汽车基础地图数据</w:t>
      </w:r>
      <w:r>
        <w:rPr>
          <w:rFonts w:hint="eastAsia" w:ascii="Times New Roman" w:hAnsi="Times New Roman" w:eastAsia="宋体" w:cs="Times New Roman"/>
          <w:snapToGrid/>
          <w:color w:val="auto"/>
          <w:sz w:val="24"/>
          <w:szCs w:val="24"/>
          <w:highlight w:val="none"/>
          <w:lang w:val="en-US" w:eastAsia="zh-CN"/>
        </w:rPr>
        <w:t>相关</w:t>
      </w:r>
      <w:r>
        <w:rPr>
          <w:rFonts w:hint="eastAsia" w:ascii="Times New Roman" w:hAnsi="Times New Roman" w:eastAsia="宋体" w:cs="Times New Roman"/>
          <w:snapToGrid/>
          <w:color w:val="auto"/>
          <w:sz w:val="24"/>
          <w:szCs w:val="24"/>
          <w:highlight w:val="none"/>
        </w:rPr>
        <w:t>的重要性、规模</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精度</w:t>
      </w:r>
      <w:r>
        <w:rPr>
          <w:rFonts w:hint="eastAsia" w:ascii="Times New Roman" w:hAnsi="Times New Roman" w:eastAsia="宋体" w:cs="Times New Roman"/>
          <w:snapToGrid/>
          <w:color w:val="auto"/>
          <w:sz w:val="24"/>
          <w:szCs w:val="24"/>
          <w:highlight w:val="none"/>
        </w:rPr>
        <w:t>和覆盖度等要素，</w:t>
      </w:r>
      <w:r>
        <w:rPr>
          <w:rFonts w:hint="eastAsia" w:ascii="Times New Roman" w:hAnsi="Times New Roman" w:eastAsia="宋体" w:cs="Times New Roman"/>
          <w:snapToGrid/>
          <w:color w:val="auto"/>
          <w:sz w:val="24"/>
          <w:szCs w:val="24"/>
          <w:highlight w:val="none"/>
          <w:lang w:val="en-US" w:eastAsia="zh-CN"/>
        </w:rPr>
        <w:t>以及</w:t>
      </w:r>
      <w:r>
        <w:rPr>
          <w:rFonts w:hint="eastAsia" w:ascii="Times New Roman" w:hAnsi="Times New Roman" w:eastAsia="宋体" w:cs="Times New Roman"/>
          <w:snapToGrid/>
          <w:color w:val="auto"/>
          <w:sz w:val="24"/>
          <w:szCs w:val="24"/>
          <w:highlight w:val="none"/>
        </w:rPr>
        <w:t>为其他行业、领域提供自然资源基础数据支撑</w:t>
      </w:r>
      <w:r>
        <w:rPr>
          <w:rFonts w:hint="eastAsia" w:ascii="Times New Roman" w:hAnsi="Times New Roman" w:eastAsia="宋体" w:cs="Times New Roman"/>
          <w:snapToGrid/>
          <w:color w:val="auto"/>
          <w:sz w:val="24"/>
          <w:szCs w:val="24"/>
          <w:highlight w:val="none"/>
          <w:lang w:val="en-US" w:eastAsia="zh-CN"/>
        </w:rPr>
        <w:t>能力</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综合判定数据一旦遭到泄露、篡改、损毁或者非法获取、非法使用、非法共享所影响的对象，以及造成的影响程度</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在此基础上，具体</w:t>
      </w:r>
      <w:r>
        <w:rPr>
          <w:rFonts w:hint="eastAsia" w:ascii="Times New Roman" w:hAnsi="Times New Roman" w:eastAsia="宋体" w:cs="Times New Roman"/>
          <w:snapToGrid/>
          <w:color w:val="auto"/>
          <w:sz w:val="24"/>
          <w:szCs w:val="24"/>
          <w:highlight w:val="none"/>
        </w:rPr>
        <w:t>分为核心数据、重要数据、一般数据</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其中，</w:t>
      </w:r>
      <w:r>
        <w:rPr>
          <w:rFonts w:hint="eastAsia" w:ascii="Times New Roman" w:hAnsi="Times New Roman" w:eastAsia="宋体" w:cs="Times New Roman"/>
          <w:snapToGrid/>
          <w:color w:val="auto"/>
          <w:sz w:val="24"/>
          <w:szCs w:val="24"/>
          <w:highlight w:val="none"/>
        </w:rPr>
        <w:t>“重要性</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表征数据本身</w:t>
      </w:r>
      <w:r>
        <w:rPr>
          <w:rFonts w:hint="eastAsia" w:ascii="Times New Roman" w:hAnsi="Times New Roman" w:eastAsia="宋体" w:cs="Times New Roman"/>
          <w:snapToGrid/>
          <w:color w:val="auto"/>
          <w:sz w:val="24"/>
          <w:szCs w:val="24"/>
          <w:highlight w:val="none"/>
        </w:rPr>
        <w:t>在国防建设和经济社会发展中的重要程度或安全地位</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如“反映军事管理区、国防科工单位以及县级以上党政机关等重要敏感区域的地理信息，国家战略储备能力，交通、能源等重要基础设施的相关属性”的级别确定规则；</w:t>
      </w:r>
      <w:r>
        <w:rPr>
          <w:rFonts w:hint="eastAsia" w:ascii="Times New Roman" w:hAnsi="Times New Roman" w:eastAsia="宋体" w:cs="Times New Roman"/>
          <w:snapToGrid/>
          <w:color w:val="auto"/>
          <w:sz w:val="24"/>
          <w:szCs w:val="24"/>
          <w:highlight w:val="none"/>
        </w:rPr>
        <w:t>“规模”</w:t>
      </w:r>
      <w:r>
        <w:rPr>
          <w:rFonts w:hint="eastAsia" w:ascii="Times New Roman" w:hAnsi="Times New Roman" w:eastAsia="宋体" w:cs="Times New Roman"/>
          <w:snapToGrid/>
          <w:color w:val="auto"/>
          <w:sz w:val="24"/>
          <w:szCs w:val="24"/>
          <w:highlight w:val="none"/>
          <w:lang w:val="en-US" w:eastAsia="zh-CN"/>
        </w:rPr>
        <w:t>表征数据本身</w:t>
      </w:r>
      <w:r>
        <w:rPr>
          <w:rFonts w:hint="eastAsia" w:ascii="Times New Roman" w:hAnsi="Times New Roman" w:eastAsia="宋体" w:cs="Times New Roman"/>
          <w:snapToGrid/>
          <w:color w:val="auto"/>
          <w:sz w:val="24"/>
          <w:szCs w:val="24"/>
          <w:highlight w:val="none"/>
        </w:rPr>
        <w:t>数据描述对象的范围或数量大小，</w:t>
      </w:r>
      <w:r>
        <w:rPr>
          <w:rFonts w:hint="eastAsia" w:ascii="Times New Roman" w:hAnsi="Times New Roman" w:eastAsia="宋体" w:cs="Times New Roman"/>
          <w:snapToGrid/>
          <w:color w:val="auto"/>
          <w:sz w:val="24"/>
          <w:szCs w:val="24"/>
          <w:highlight w:val="none"/>
          <w:lang w:val="en-US" w:eastAsia="zh-CN"/>
        </w:rPr>
        <w:t>如“数据规模涉及在中华人民共和国境内运行的10万台以上车辆”的级别确定规则；“精度”表征数据精确或准确程度，如“平面精度优于（含）10米”的级别确定规则；</w:t>
      </w:r>
      <w:r>
        <w:rPr>
          <w:rFonts w:hint="eastAsia" w:ascii="Times New Roman" w:hAnsi="Times New Roman" w:eastAsia="宋体" w:cs="Times New Roman"/>
          <w:snapToGrid/>
          <w:color w:val="auto"/>
          <w:sz w:val="24"/>
          <w:szCs w:val="24"/>
          <w:highlight w:val="none"/>
        </w:rPr>
        <w:t>“覆盖度”</w:t>
      </w:r>
      <w:r>
        <w:rPr>
          <w:rFonts w:hint="eastAsia" w:ascii="Times New Roman" w:hAnsi="Times New Roman" w:eastAsia="宋体" w:cs="Times New Roman"/>
          <w:snapToGrid/>
          <w:color w:val="auto"/>
          <w:sz w:val="24"/>
          <w:szCs w:val="24"/>
          <w:highlight w:val="none"/>
          <w:lang w:val="en-US" w:eastAsia="zh-CN"/>
        </w:rPr>
        <w:t>表征数据本身</w:t>
      </w:r>
      <w:r>
        <w:rPr>
          <w:rFonts w:hint="eastAsia" w:ascii="Times New Roman" w:hAnsi="Times New Roman" w:eastAsia="宋体" w:cs="Times New Roman"/>
          <w:snapToGrid/>
          <w:color w:val="auto"/>
          <w:sz w:val="24"/>
          <w:szCs w:val="24"/>
          <w:highlight w:val="none"/>
        </w:rPr>
        <w:t>对领域、区域等的覆盖分布或疏密程度</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lang w:val="en-US" w:eastAsia="zh-CN"/>
        </w:rPr>
        <w:t>如“覆盖范围不超过25平方公里”的级别确定规则</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此外，作为智能汽车基础地图数据分级规则明确的条件依据，影响对象主要包括国家安全、经济运行、社会秩序、公共利益、组织权益和个人权益，影响程度从高到低分为特别严重危害、严重危害、一般危害，具体参考GB/T 43697规定的级别确定规则。</w:t>
      </w:r>
    </w:p>
    <w:p w14:paraId="7FC4F751">
      <w:pPr>
        <w:spacing w:line="360" w:lineRule="auto"/>
        <w:ind w:firstLine="480" w:firstLineChars="200"/>
        <w:jc w:val="both"/>
        <w:rPr>
          <w:rFonts w:hint="eastAsia" w:ascii="Times New Roman" w:hAnsi="Times New Roman" w:eastAsia="宋体" w:cs="Times New Roman"/>
          <w:snapToGrid/>
          <w:color w:val="auto"/>
          <w:sz w:val="24"/>
          <w:szCs w:val="24"/>
          <w:highlight w:val="none"/>
          <w:lang w:val="en-US" w:eastAsia="zh-CN"/>
        </w:rPr>
      </w:pPr>
      <w:r>
        <w:rPr>
          <w:rFonts w:hint="eastAsia" w:ascii="Times New Roman" w:hAnsi="Times New Roman" w:eastAsia="宋体" w:cs="Times New Roman"/>
          <w:snapToGrid/>
          <w:color w:val="auto"/>
          <w:sz w:val="24"/>
          <w:szCs w:val="24"/>
          <w:highlight w:val="none"/>
        </w:rPr>
        <w:t>上述</w:t>
      </w:r>
      <w:r>
        <w:rPr>
          <w:rFonts w:hint="eastAsia" w:ascii="Times New Roman" w:hAnsi="Times New Roman" w:eastAsia="宋体" w:cs="Times New Roman"/>
          <w:snapToGrid/>
          <w:color w:val="auto"/>
          <w:sz w:val="24"/>
          <w:szCs w:val="24"/>
          <w:highlight w:val="none"/>
          <w:lang w:val="en-US" w:eastAsia="zh-CN"/>
        </w:rPr>
        <w:t>技术内容在参照GB/T 43697相关国家数据分类分级的基础上，有效响应了《汽车数据安全管理若干规定（试行）》（国家互联网信息办公室、中华人民共和国国家发展和改革委员会、中华人民共和国工业和信息化部、中华人民共和国公安部、中华人民共和国交通运输部令第7号）、</w:t>
      </w:r>
      <w:r>
        <w:rPr>
          <w:rFonts w:hint="eastAsia" w:ascii="Times New Roman" w:hAnsi="Times New Roman" w:eastAsia="宋体" w:cs="Times New Roman"/>
          <w:snapToGrid/>
          <w:color w:val="auto"/>
          <w:sz w:val="24"/>
          <w:szCs w:val="24"/>
          <w:highlight w:val="none"/>
        </w:rPr>
        <w:t>《自然资源部关于印发〈自然资源领域数据安全管理办法〉的通知》（自然资发〔2024〕57号）</w:t>
      </w:r>
      <w:r>
        <w:rPr>
          <w:rFonts w:hint="eastAsia" w:ascii="Times New Roman" w:hAnsi="Times New Roman" w:eastAsia="宋体" w:cs="Times New Roman"/>
          <w:snapToGrid/>
          <w:color w:val="auto"/>
          <w:sz w:val="24"/>
          <w:szCs w:val="24"/>
          <w:highlight w:val="none"/>
          <w:lang w:val="en-US" w:eastAsia="zh-CN"/>
        </w:rPr>
        <w:t>和《自然资源部办公厅关于印发</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地理信息数据分类分级工作指南（试行）</w:t>
      </w:r>
      <w:r>
        <w:rPr>
          <w:rFonts w:hint="eastAsia" w:ascii="Times New Roman" w:hAnsi="Times New Roman" w:eastAsia="宋体" w:cs="Times New Roman"/>
          <w:snapToGrid/>
          <w:color w:val="auto"/>
          <w:sz w:val="24"/>
          <w:szCs w:val="24"/>
          <w:highlight w:val="none"/>
        </w:rPr>
        <w:t>〉</w:t>
      </w:r>
      <w:r>
        <w:rPr>
          <w:rFonts w:hint="eastAsia" w:ascii="Times New Roman" w:hAnsi="Times New Roman" w:eastAsia="宋体" w:cs="Times New Roman"/>
          <w:snapToGrid/>
          <w:color w:val="auto"/>
          <w:sz w:val="24"/>
          <w:szCs w:val="24"/>
          <w:highlight w:val="none"/>
          <w:lang w:val="en-US" w:eastAsia="zh-CN"/>
        </w:rPr>
        <w:t>的通知》（自然资办发〔2025〕11号）</w:t>
      </w:r>
      <w:r>
        <w:rPr>
          <w:rFonts w:hint="eastAsia" w:ascii="Times New Roman" w:hAnsi="Times New Roman" w:eastAsia="宋体" w:cs="Times New Roman"/>
          <w:snapToGrid/>
          <w:color w:val="auto"/>
          <w:sz w:val="24"/>
          <w:szCs w:val="24"/>
          <w:highlight w:val="none"/>
        </w:rPr>
        <w:t>中数据分类分级管理相关条款，即</w:t>
      </w:r>
      <w:r>
        <w:rPr>
          <w:rFonts w:hint="eastAsia" w:ascii="Times New Roman" w:hAnsi="Times New Roman" w:eastAsia="宋体" w:cs="Times New Roman"/>
          <w:snapToGrid/>
          <w:color w:val="auto"/>
          <w:sz w:val="24"/>
          <w:szCs w:val="24"/>
          <w:highlight w:val="none"/>
          <w:lang w:eastAsia="zh-CN"/>
        </w:rPr>
        <w:t>“军事管理区、国防科工单位以及县级以上党政机关等重要敏感区域</w:t>
      </w:r>
      <w:r>
        <w:rPr>
          <w:rFonts w:hint="eastAsia" w:ascii="Times New Roman" w:hAnsi="Times New Roman" w:eastAsia="宋体" w:cs="Times New Roman"/>
          <w:snapToGrid/>
          <w:color w:val="auto"/>
          <w:sz w:val="24"/>
          <w:szCs w:val="24"/>
          <w:highlight w:val="none"/>
          <w:lang w:val="en-US" w:eastAsia="zh-CN"/>
        </w:rPr>
        <w:t>的地理信息</w:t>
      </w:r>
      <w:r>
        <w:rPr>
          <w:rFonts w:hint="eastAsia" w:ascii="Times New Roman" w:hAnsi="Times New Roman" w:eastAsia="宋体" w:cs="Times New Roman"/>
          <w:snapToGrid/>
          <w:color w:val="auto"/>
          <w:sz w:val="24"/>
          <w:szCs w:val="24"/>
          <w:highlight w:val="none"/>
          <w:lang w:eastAsia="zh-CN"/>
        </w:rPr>
        <w:t>”</w:t>
      </w:r>
      <w:r>
        <w:rPr>
          <w:rFonts w:hint="eastAsia" w:ascii="Times New Roman" w:hAnsi="Times New Roman" w:eastAsia="宋体" w:cs="Times New Roman"/>
          <w:snapToGrid/>
          <w:color w:val="auto"/>
          <w:sz w:val="24"/>
          <w:szCs w:val="24"/>
          <w:highlight w:val="none"/>
        </w:rPr>
        <w:t>“覆盖全国范围且具有较大规模，关系国家经济命脉、重要民生和重大公共利益、影响政治安全的地理信息重要数据判定为核心数据”</w:t>
      </w:r>
      <w:r>
        <w:rPr>
          <w:rFonts w:hint="eastAsia" w:ascii="Times New Roman" w:hAnsi="Times New Roman" w:eastAsia="宋体" w:cs="Times New Roman"/>
          <w:snapToGrid/>
          <w:color w:val="auto"/>
          <w:sz w:val="24"/>
          <w:szCs w:val="24"/>
          <w:highlight w:val="none"/>
          <w:lang w:eastAsia="zh-CN"/>
        </w:rPr>
        <w:t>“军事禁区以外连续覆盖范围不超过25平方公里，但累计达到较高覆盖度或较大规模的平面精度优于（含）10米或地物高度相对量测精度优于（含）5%的三维模型、点云、倾斜影像、实景影像、导航电子地图等数据”“达到一定规模，能够反映政府机关、军事设施、重要科研机构工作人员等特定群体画像、准确定位和细粒度时空规律”“经匿名化处理后的位置轨迹数据”</w:t>
      </w:r>
      <w:r>
        <w:rPr>
          <w:rFonts w:hint="eastAsia" w:ascii="Times New Roman" w:hAnsi="Times New Roman" w:eastAsia="宋体" w:cs="Times New Roman"/>
          <w:snapToGrid/>
          <w:color w:val="auto"/>
          <w:sz w:val="24"/>
          <w:szCs w:val="24"/>
          <w:highlight w:val="none"/>
        </w:rPr>
        <w:t>，以及</w:t>
      </w:r>
      <w:r>
        <w:rPr>
          <w:rFonts w:hint="eastAsia" w:ascii="Times New Roman" w:hAnsi="Times New Roman" w:eastAsia="宋体" w:cs="Times New Roman"/>
          <w:snapToGrid/>
          <w:color w:val="auto"/>
          <w:sz w:val="24"/>
          <w:szCs w:val="24"/>
          <w:highlight w:val="none"/>
          <w:lang w:val="en-US" w:eastAsia="zh-CN"/>
        </w:rPr>
        <w:t>自然资源部和</w:t>
      </w:r>
      <w:r>
        <w:rPr>
          <w:rFonts w:hint="eastAsia" w:ascii="Times New Roman" w:hAnsi="Times New Roman" w:eastAsia="宋体" w:cs="Times New Roman"/>
          <w:snapToGrid/>
          <w:color w:val="auto"/>
          <w:sz w:val="24"/>
          <w:szCs w:val="24"/>
          <w:highlight w:val="none"/>
        </w:rPr>
        <w:t>工业和信息化部等</w:t>
      </w:r>
      <w:r>
        <w:rPr>
          <w:rFonts w:hint="eastAsia" w:ascii="Times New Roman" w:hAnsi="Times New Roman" w:eastAsia="宋体" w:cs="Times New Roman"/>
          <w:snapToGrid/>
          <w:color w:val="auto"/>
          <w:sz w:val="24"/>
          <w:szCs w:val="24"/>
          <w:highlight w:val="none"/>
          <w:lang w:val="en-US" w:eastAsia="zh-CN"/>
        </w:rPr>
        <w:t>多</w:t>
      </w:r>
      <w:r>
        <w:rPr>
          <w:rFonts w:hint="eastAsia" w:ascii="Times New Roman" w:hAnsi="Times New Roman" w:eastAsia="宋体" w:cs="Times New Roman"/>
          <w:snapToGrid/>
          <w:color w:val="auto"/>
          <w:sz w:val="24"/>
          <w:szCs w:val="24"/>
          <w:highlight w:val="none"/>
        </w:rPr>
        <w:t>部委</w:t>
      </w:r>
      <w:r>
        <w:rPr>
          <w:rFonts w:hint="eastAsia" w:ascii="Times New Roman" w:hAnsi="Times New Roman" w:eastAsia="宋体" w:cs="Times New Roman"/>
          <w:snapToGrid/>
          <w:color w:val="auto"/>
          <w:sz w:val="24"/>
          <w:szCs w:val="24"/>
          <w:highlight w:val="none"/>
          <w:lang w:val="en-US" w:eastAsia="zh-CN"/>
        </w:rPr>
        <w:t>联合开展的“</w:t>
      </w:r>
      <w:r>
        <w:rPr>
          <w:rFonts w:hint="eastAsia" w:ascii="Times New Roman" w:hAnsi="Times New Roman" w:eastAsia="宋体" w:cs="Times New Roman"/>
          <w:snapToGrid/>
          <w:color w:val="auto"/>
          <w:sz w:val="24"/>
          <w:szCs w:val="24"/>
          <w:highlight w:val="none"/>
          <w:lang w:eastAsia="zh-CN"/>
        </w:rPr>
        <w:t>联网汽车运行及自动驾驶重要数据识别指引”</w:t>
      </w:r>
      <w:r>
        <w:rPr>
          <w:rFonts w:hint="eastAsia" w:ascii="Times New Roman" w:hAnsi="Times New Roman" w:eastAsia="宋体" w:cs="Times New Roman"/>
          <w:snapToGrid/>
          <w:color w:val="auto"/>
          <w:sz w:val="24"/>
          <w:szCs w:val="24"/>
          <w:highlight w:val="none"/>
          <w:lang w:val="en-US" w:eastAsia="zh-CN"/>
        </w:rPr>
        <w:t>相关工作</w:t>
      </w:r>
      <w:r>
        <w:rPr>
          <w:rFonts w:hint="eastAsia" w:ascii="Times New Roman" w:hAnsi="Times New Roman" w:eastAsia="宋体" w:cs="Times New Roman"/>
          <w:snapToGrid/>
          <w:color w:val="auto"/>
          <w:sz w:val="24"/>
          <w:szCs w:val="24"/>
          <w:highlight w:val="none"/>
        </w:rPr>
        <w:t>的</w:t>
      </w:r>
      <w:r>
        <w:rPr>
          <w:rFonts w:hint="eastAsia" w:ascii="Times New Roman" w:hAnsi="Times New Roman" w:eastAsia="宋体" w:cs="Times New Roman"/>
          <w:snapToGrid/>
          <w:color w:val="auto"/>
          <w:sz w:val="24"/>
          <w:szCs w:val="24"/>
          <w:highlight w:val="none"/>
          <w:lang w:val="en-US" w:eastAsia="zh-CN"/>
        </w:rPr>
        <w:t>指示要求，如“涉及军事管理区、国防科工单位以及县级以上党政机关等重要敏感区域”和“涉及10万台以上车辆”等</w:t>
      </w:r>
      <w:r>
        <w:rPr>
          <w:rFonts w:hint="eastAsia" w:ascii="Times New Roman" w:hAnsi="Times New Roman" w:eastAsia="宋体" w:cs="Times New Roman"/>
          <w:snapToGrid/>
          <w:color w:val="auto"/>
          <w:sz w:val="24"/>
          <w:szCs w:val="24"/>
          <w:highlight w:val="none"/>
          <w:lang w:eastAsia="zh-CN"/>
        </w:rPr>
        <w:t>。</w:t>
      </w:r>
    </w:p>
    <w:p w14:paraId="34B3ACC2">
      <w:pPr>
        <w:numPr>
          <w:ilvl w:val="0"/>
          <w:numId w:val="5"/>
        </w:numPr>
        <w:spacing w:line="360" w:lineRule="auto"/>
        <w:ind w:firstLine="482" w:firstLineChars="200"/>
        <w:jc w:val="both"/>
        <w:rPr>
          <w:rFonts w:ascii="Times New Roman" w:hAnsi="Times New Roman" w:eastAsia="宋体" w:cs="Times New Roman"/>
          <w:b/>
          <w:color w:val="auto"/>
          <w:sz w:val="24"/>
          <w:szCs w:val="24"/>
          <w:highlight w:val="none"/>
        </w:rPr>
      </w:pPr>
      <w:r>
        <w:rPr>
          <w:rFonts w:hint="eastAsia" w:ascii="Times New Roman" w:hAnsi="Times New Roman" w:eastAsia="宋体" w:cs="Times New Roman"/>
          <w:b/>
          <w:color w:val="auto"/>
          <w:sz w:val="24"/>
          <w:szCs w:val="24"/>
          <w:highlight w:val="none"/>
        </w:rPr>
        <w:t>参考文献</w:t>
      </w:r>
    </w:p>
    <w:p w14:paraId="3EB4E110">
      <w:pPr>
        <w:pStyle w:val="5"/>
        <w:spacing w:line="360" w:lineRule="auto"/>
        <w:ind w:firstLine="480" w:firstLineChars="200"/>
        <w:jc w:val="both"/>
        <w:rPr>
          <w:color w:val="auto"/>
          <w:sz w:val="24"/>
          <w:szCs w:val="24"/>
          <w:highlight w:val="none"/>
        </w:rPr>
      </w:pPr>
      <w:r>
        <w:rPr>
          <w:rFonts w:hint="eastAsia"/>
          <w:snapToGrid/>
          <w:color w:val="auto"/>
          <w:sz w:val="24"/>
          <w:szCs w:val="24"/>
          <w:highlight w:val="none"/>
        </w:rPr>
        <w:t>本章提供分类分级及其对应技术措施所涉及的</w:t>
      </w:r>
      <w:r>
        <w:rPr>
          <w:rFonts w:hint="eastAsia"/>
          <w:snapToGrid/>
          <w:color w:val="auto"/>
          <w:sz w:val="24"/>
          <w:szCs w:val="24"/>
          <w:highlight w:val="none"/>
          <w:lang w:val="en-US" w:eastAsia="zh-CN"/>
        </w:rPr>
        <w:t>政策</w:t>
      </w:r>
      <w:r>
        <w:rPr>
          <w:rFonts w:hint="eastAsia"/>
          <w:snapToGrid/>
          <w:color w:val="auto"/>
          <w:sz w:val="24"/>
          <w:szCs w:val="24"/>
          <w:highlight w:val="none"/>
        </w:rPr>
        <w:t>规定。其中，</w:t>
      </w:r>
      <w:r>
        <w:rPr>
          <w:rFonts w:hint="eastAsia"/>
          <w:snapToGrid/>
          <w:color w:val="auto"/>
          <w:sz w:val="24"/>
          <w:szCs w:val="24"/>
          <w:highlight w:val="none"/>
          <w:lang w:eastAsia="zh-CN"/>
        </w:rPr>
        <w:t>《汽车驾驶自动化分级》（GB/T 40429—2021）</w:t>
      </w:r>
      <w:r>
        <w:rPr>
          <w:rFonts w:hint="eastAsia"/>
          <w:snapToGrid/>
          <w:color w:val="auto"/>
          <w:sz w:val="24"/>
          <w:szCs w:val="24"/>
          <w:highlight w:val="none"/>
          <w:lang w:val="en-US" w:eastAsia="zh-CN"/>
        </w:rPr>
        <w:t>的“3.3”条，明确指出1至5级汽车驾驶自动化功能及其应用范围区别</w:t>
      </w:r>
      <w:r>
        <w:rPr>
          <w:rFonts w:hint="eastAsia"/>
          <w:snapToGrid/>
          <w:color w:val="auto"/>
          <w:sz w:val="24"/>
          <w:szCs w:val="24"/>
          <w:highlight w:val="none"/>
          <w:lang w:eastAsia="zh-CN"/>
        </w:rPr>
        <w:t>；《智能网联汽车时空数据安全处理基本要求》（GB XXXXX—XXXX）</w:t>
      </w:r>
      <w:r>
        <w:rPr>
          <w:rFonts w:hint="eastAsia"/>
          <w:snapToGrid/>
          <w:color w:val="auto"/>
          <w:sz w:val="24"/>
          <w:szCs w:val="24"/>
          <w:highlight w:val="none"/>
          <w:lang w:val="en-US" w:eastAsia="zh-CN"/>
        </w:rPr>
        <w:t>中已明确5种时空数据传感器获取的时空数据，包括轨迹类、影像类、点云类、惯导类和构图类</w:t>
      </w:r>
      <w:r>
        <w:rPr>
          <w:rFonts w:hint="eastAsia"/>
          <w:snapToGrid/>
          <w:color w:val="auto"/>
          <w:sz w:val="24"/>
          <w:szCs w:val="24"/>
          <w:highlight w:val="none"/>
          <w:lang w:eastAsia="zh-CN"/>
        </w:rPr>
        <w:t>；《道路高精导航电子地图数据更新技术规范》（CH/T XXXXX—XXXX）</w:t>
      </w:r>
      <w:r>
        <w:rPr>
          <w:rFonts w:hint="eastAsia"/>
          <w:snapToGrid/>
          <w:color w:val="auto"/>
          <w:sz w:val="24"/>
          <w:szCs w:val="24"/>
          <w:highlight w:val="none"/>
          <w:lang w:val="en-US" w:eastAsia="zh-CN"/>
        </w:rPr>
        <w:t>中明确“产品数据库”的术语定义，及其在地图数据更新处理过程中的作用与技术要求；</w:t>
      </w:r>
      <w:r>
        <w:rPr>
          <w:rFonts w:hint="eastAsia" w:ascii="Times New Roman" w:hAnsi="Times New Roman" w:eastAsia="宋体" w:cs="Times New Roman"/>
          <w:snapToGrid/>
          <w:color w:val="auto"/>
          <w:sz w:val="24"/>
          <w:szCs w:val="24"/>
          <w:highlight w:val="none"/>
          <w:lang w:val="en-US" w:eastAsia="zh-CN"/>
        </w:rPr>
        <w:t>《汽车数据安全管理若干规定（试行）》（国家互联网信息办公室、中华人民共和国国家发展和改革委员会、中华人民共和国工业和信息化部、中华人民共和国公安部、中华人民共和国交通运输部令第7号）</w:t>
      </w:r>
      <w:r>
        <w:rPr>
          <w:rFonts w:hint="eastAsia" w:cs="Times New Roman"/>
          <w:snapToGrid/>
          <w:color w:val="auto"/>
          <w:sz w:val="24"/>
          <w:szCs w:val="24"/>
          <w:highlight w:val="none"/>
          <w:lang w:val="en-US" w:eastAsia="zh-CN"/>
        </w:rPr>
        <w:t>的“第3条”，明确了涉及“重要敏感区域”和“10万”等的重要数据及其界定条件；</w:t>
      </w:r>
      <w:r>
        <w:rPr>
          <w:rFonts w:hint="eastAsia"/>
          <w:snapToGrid/>
          <w:color w:val="auto"/>
          <w:sz w:val="24"/>
          <w:szCs w:val="24"/>
          <w:highlight w:val="none"/>
        </w:rPr>
        <w:t>《自然资源部关于印发〈自然资源领域数据安全管理办法〉的通知》（自然资发〔2024〕57号）的“数据分类分级管理”</w:t>
      </w:r>
      <w:r>
        <w:rPr>
          <w:rFonts w:hint="eastAsia"/>
          <w:snapToGrid/>
          <w:color w:val="auto"/>
          <w:sz w:val="24"/>
          <w:szCs w:val="24"/>
          <w:highlight w:val="none"/>
          <w:lang w:val="en-US" w:eastAsia="zh-CN"/>
        </w:rPr>
        <w:t>章节</w:t>
      </w:r>
      <w:r>
        <w:rPr>
          <w:rFonts w:hint="eastAsia"/>
          <w:snapToGrid/>
          <w:color w:val="auto"/>
          <w:sz w:val="24"/>
          <w:szCs w:val="24"/>
          <w:highlight w:val="none"/>
        </w:rPr>
        <w:t>，</w:t>
      </w:r>
      <w:r>
        <w:rPr>
          <w:rFonts w:hint="eastAsia"/>
          <w:snapToGrid/>
          <w:color w:val="auto"/>
          <w:sz w:val="24"/>
          <w:szCs w:val="24"/>
          <w:highlight w:val="none"/>
          <w:lang w:val="en-US" w:eastAsia="zh-CN"/>
        </w:rPr>
        <w:t>明确</w:t>
      </w:r>
      <w:r>
        <w:rPr>
          <w:rFonts w:hint="eastAsia"/>
          <w:snapToGrid/>
          <w:color w:val="auto"/>
          <w:sz w:val="24"/>
          <w:szCs w:val="24"/>
          <w:highlight w:val="none"/>
        </w:rPr>
        <w:t>指出测绘地理信息数据</w:t>
      </w:r>
      <w:r>
        <w:rPr>
          <w:rFonts w:hint="eastAsia"/>
          <w:snapToGrid/>
          <w:color w:val="auto"/>
          <w:sz w:val="24"/>
          <w:szCs w:val="24"/>
          <w:highlight w:val="none"/>
          <w:lang w:val="en-US" w:eastAsia="zh-CN"/>
        </w:rPr>
        <w:t>分类</w:t>
      </w:r>
      <w:r>
        <w:rPr>
          <w:rFonts w:hint="eastAsia"/>
          <w:snapToGrid/>
          <w:color w:val="auto"/>
          <w:sz w:val="24"/>
          <w:szCs w:val="24"/>
          <w:highlight w:val="none"/>
        </w:rPr>
        <w:t>分级</w:t>
      </w:r>
      <w:r>
        <w:rPr>
          <w:rFonts w:hint="eastAsia"/>
          <w:snapToGrid/>
          <w:color w:val="auto"/>
          <w:sz w:val="24"/>
          <w:szCs w:val="24"/>
          <w:highlight w:val="none"/>
          <w:lang w:val="en-US" w:eastAsia="zh-CN"/>
        </w:rPr>
        <w:t>识别，以及核心数据、重要数据和一般数据对应的管理</w:t>
      </w:r>
      <w:r>
        <w:rPr>
          <w:rFonts w:hint="eastAsia"/>
          <w:snapToGrid/>
          <w:color w:val="auto"/>
          <w:sz w:val="24"/>
          <w:szCs w:val="24"/>
          <w:highlight w:val="none"/>
        </w:rPr>
        <w:t>措施；《自然资源部关于加强智能网联汽车有关测绘地理信息安全管理的通知》（自然资发〔2024〕139号）系统指出开展智能网联汽车相关测绘活动要求，</w:t>
      </w:r>
      <w:r>
        <w:rPr>
          <w:rFonts w:hint="eastAsia"/>
          <w:snapToGrid/>
          <w:color w:val="auto"/>
          <w:sz w:val="24"/>
          <w:szCs w:val="24"/>
          <w:highlight w:val="none"/>
          <w:lang w:val="en-US" w:eastAsia="zh-CN"/>
        </w:rPr>
        <w:t>明确了</w:t>
      </w:r>
      <w:r>
        <w:rPr>
          <w:rFonts w:hint="eastAsia"/>
          <w:snapToGrid/>
          <w:color w:val="auto"/>
          <w:sz w:val="24"/>
          <w:szCs w:val="24"/>
          <w:highlight w:val="none"/>
        </w:rPr>
        <w:t>基础地图、高级辅助驾驶地图、高精度地图、自动驾驶地图与导航电子地图</w:t>
      </w:r>
      <w:r>
        <w:rPr>
          <w:rFonts w:hint="eastAsia"/>
          <w:snapToGrid/>
          <w:color w:val="auto"/>
          <w:sz w:val="24"/>
          <w:szCs w:val="24"/>
          <w:highlight w:val="none"/>
          <w:lang w:val="en-US" w:eastAsia="zh-CN"/>
        </w:rPr>
        <w:t>间隶属关系</w:t>
      </w:r>
      <w:r>
        <w:rPr>
          <w:rFonts w:hint="eastAsia"/>
          <w:snapToGrid/>
          <w:color w:val="auto"/>
          <w:sz w:val="24"/>
          <w:szCs w:val="24"/>
          <w:highlight w:val="none"/>
        </w:rPr>
        <w:t>等内容</w:t>
      </w:r>
      <w:r>
        <w:rPr>
          <w:rFonts w:hint="eastAsia"/>
          <w:snapToGrid/>
          <w:color w:val="auto"/>
          <w:sz w:val="24"/>
          <w:szCs w:val="24"/>
          <w:highlight w:val="none"/>
          <w:lang w:eastAsia="zh-CN"/>
        </w:rPr>
        <w:t>；《自然资源部办公厅关于印发〈地理信息数据分类分级工作指南（试行）〉的通知》（自然资办发〔2025〕11号）</w:t>
      </w:r>
      <w:r>
        <w:rPr>
          <w:rFonts w:hint="eastAsia"/>
          <w:snapToGrid/>
          <w:color w:val="auto"/>
          <w:sz w:val="24"/>
          <w:szCs w:val="24"/>
          <w:highlight w:val="none"/>
          <w:lang w:val="en-US" w:eastAsia="zh-CN"/>
        </w:rPr>
        <w:t>明确提出非涉密的地理信息数据，从便于数据管理和使用角度科学选择常见的属性或特征作为数据分类依据，以及根据数据的精度、规模、覆盖度、重要性等分级识别因素综合判定核心数据、重要数据和一般数据，并强调避免因分类粒度过细导致无法识别等统领性要求</w:t>
      </w:r>
      <w:r>
        <w:rPr>
          <w:rFonts w:hint="eastAsia"/>
          <w:snapToGrid/>
          <w:color w:val="auto"/>
          <w:sz w:val="24"/>
          <w:szCs w:val="24"/>
          <w:highlight w:val="none"/>
        </w:rPr>
        <w:t>。</w:t>
      </w:r>
    </w:p>
    <w:p w14:paraId="09E045D7">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2" w:name="_Toc3040"/>
      <w:r>
        <w:rPr>
          <w:rFonts w:hint="eastAsia" w:ascii="Times New Roman" w:hAnsi="Times New Roman" w:eastAsia="宋体" w:cs="Times New Roman"/>
          <w:b/>
          <w:bCs/>
          <w:color w:val="auto"/>
          <w:sz w:val="24"/>
          <w:szCs w:val="28"/>
          <w:highlight w:val="none"/>
        </w:rPr>
        <w:t>主要试验（或验证）的分析、综述报告，技术经济论证，预期的经济效果</w:t>
      </w:r>
      <w:bookmarkEnd w:id="22"/>
    </w:p>
    <w:p w14:paraId="7360BD2E">
      <w:pPr>
        <w:spacing w:line="360" w:lineRule="auto"/>
        <w:ind w:firstLine="480" w:firstLineChars="200"/>
        <w:jc w:val="both"/>
        <w:rPr>
          <w:rFonts w:ascii="Times New Roman" w:hAnsi="Times New Roman" w:eastAsia="宋体" w:cs="Times New Roman"/>
          <w:snapToGrid/>
          <w:color w:val="auto"/>
          <w:sz w:val="24"/>
          <w:szCs w:val="28"/>
          <w:highlight w:val="none"/>
        </w:rPr>
      </w:pPr>
      <w:bookmarkStart w:id="23" w:name="_Toc148984866"/>
      <w:bookmarkEnd w:id="23"/>
      <w:r>
        <w:rPr>
          <w:rFonts w:hint="eastAsia" w:ascii="Times New Roman" w:hAnsi="Times New Roman" w:eastAsia="宋体" w:cs="Times New Roman"/>
          <w:snapToGrid/>
          <w:color w:val="auto"/>
          <w:sz w:val="24"/>
          <w:szCs w:val="28"/>
          <w:highlight w:val="none"/>
        </w:rPr>
        <w:t>结合智能汽车基础地图技术产业现状及发展趋势，</w:t>
      </w:r>
      <w:r>
        <w:rPr>
          <w:rFonts w:hint="eastAsia" w:ascii="Times New Roman" w:hAnsi="Times New Roman" w:eastAsia="宋体" w:cs="Times New Roman"/>
          <w:snapToGrid/>
          <w:color w:val="auto"/>
          <w:sz w:val="24"/>
          <w:szCs w:val="28"/>
          <w:highlight w:val="none"/>
          <w:lang w:val="en-US" w:eastAsia="zh-CN"/>
        </w:rPr>
        <w:t>工作组对</w:t>
      </w:r>
      <w:r>
        <w:rPr>
          <w:rFonts w:hint="eastAsia" w:ascii="Times New Roman" w:hAnsi="Times New Roman" w:eastAsia="宋体" w:cs="Times New Roman"/>
          <w:snapToGrid/>
          <w:color w:val="auto"/>
          <w:sz w:val="24"/>
          <w:szCs w:val="28"/>
          <w:highlight w:val="none"/>
        </w:rPr>
        <w:t>《自然资源部关于印发</w:t>
      </w:r>
      <w:r>
        <w:rPr>
          <w:rFonts w:hint="eastAsia" w:ascii="Times New Roman" w:hAnsi="Times New Roman" w:eastAsia="宋体" w:cs="Times New Roman"/>
          <w:snapToGrid/>
          <w:color w:val="auto"/>
          <w:sz w:val="24"/>
          <w:szCs w:val="28"/>
          <w:highlight w:val="none"/>
          <w:lang w:val="en-US" w:eastAsia="zh-CN"/>
        </w:rPr>
        <w:t>〈自然资源领域数据安全管理办法〉</w:t>
      </w:r>
      <w:r>
        <w:rPr>
          <w:rFonts w:hint="eastAsia" w:ascii="Times New Roman" w:hAnsi="Times New Roman" w:eastAsia="宋体" w:cs="Times New Roman"/>
          <w:snapToGrid/>
          <w:color w:val="auto"/>
          <w:sz w:val="24"/>
          <w:szCs w:val="28"/>
          <w:highlight w:val="none"/>
        </w:rPr>
        <w:t>的通知》（自然资发〔2024〕57号）</w:t>
      </w:r>
      <w:r>
        <w:rPr>
          <w:rFonts w:hint="eastAsia" w:ascii="Times New Roman" w:hAnsi="Times New Roman" w:eastAsia="宋体" w:cs="Times New Roman"/>
          <w:snapToGrid/>
          <w:color w:val="auto"/>
          <w:sz w:val="24"/>
          <w:szCs w:val="28"/>
          <w:highlight w:val="none"/>
          <w:lang w:eastAsia="zh-CN"/>
        </w:rPr>
        <w:t>、《自然资源部关于加强智能网联汽车有关测绘地理信息安全管理的通知》（自然资发〔2024〕139号）</w:t>
      </w:r>
      <w:r>
        <w:rPr>
          <w:rFonts w:hint="eastAsia" w:ascii="Times New Roman" w:hAnsi="Times New Roman" w:eastAsia="宋体" w:cs="Times New Roman"/>
          <w:snapToGrid/>
          <w:color w:val="auto"/>
          <w:sz w:val="24"/>
          <w:szCs w:val="28"/>
          <w:highlight w:val="none"/>
          <w:lang w:val="en-US" w:eastAsia="zh-CN"/>
        </w:rPr>
        <w:t>和《自然资源部办公厅关于印发〈地理信息数据分类分级工作指南（试行）〉的通知（自然资办发〔2025〕11号）》，以及自然资源部和工业和信息化部等多部委联合开展的“联网汽车运行及自动驾驶重要数据识别指引”工作</w:t>
      </w:r>
      <w:r>
        <w:rPr>
          <w:rFonts w:hint="eastAsia" w:ascii="Times New Roman" w:hAnsi="Times New Roman" w:eastAsia="宋体" w:cs="Times New Roman"/>
          <w:snapToGrid/>
          <w:color w:val="auto"/>
          <w:sz w:val="24"/>
          <w:szCs w:val="28"/>
          <w:highlight w:val="none"/>
        </w:rPr>
        <w:t>要求</w:t>
      </w:r>
      <w:r>
        <w:rPr>
          <w:rFonts w:hint="eastAsia" w:ascii="Times New Roman" w:hAnsi="Times New Roman" w:eastAsia="宋体" w:cs="Times New Roman"/>
          <w:snapToGrid/>
          <w:color w:val="auto"/>
          <w:sz w:val="24"/>
          <w:szCs w:val="28"/>
          <w:highlight w:val="none"/>
          <w:lang w:val="en-US" w:eastAsia="zh-CN"/>
        </w:rPr>
        <w:t>进一步</w:t>
      </w:r>
      <w:r>
        <w:rPr>
          <w:rFonts w:hint="eastAsia" w:ascii="Times New Roman" w:hAnsi="Times New Roman" w:eastAsia="宋体" w:cs="Times New Roman"/>
          <w:snapToGrid/>
          <w:color w:val="auto"/>
          <w:sz w:val="24"/>
          <w:szCs w:val="28"/>
          <w:highlight w:val="none"/>
        </w:rPr>
        <w:t>细化，</w:t>
      </w:r>
      <w:r>
        <w:rPr>
          <w:rFonts w:hint="eastAsia" w:ascii="Times New Roman" w:hAnsi="Times New Roman" w:eastAsia="宋体" w:cs="Times New Roman"/>
          <w:snapToGrid/>
          <w:color w:val="auto"/>
          <w:sz w:val="24"/>
          <w:szCs w:val="28"/>
          <w:highlight w:val="none"/>
          <w:lang w:val="en-US" w:eastAsia="zh-CN"/>
        </w:rPr>
        <w:t>参照GB/T 43697等国家数据分类分级框架的设计，聚焦本领域并形成可用于指导相关行业领域</w:t>
      </w:r>
      <w:r>
        <w:rPr>
          <w:rFonts w:hint="eastAsia" w:ascii="Times New Roman" w:hAnsi="Times New Roman" w:eastAsia="宋体" w:cs="Times New Roman"/>
          <w:snapToGrid/>
          <w:color w:val="auto"/>
          <w:sz w:val="24"/>
          <w:szCs w:val="28"/>
          <w:highlight w:val="none"/>
        </w:rPr>
        <w:t>单位开展</w:t>
      </w:r>
      <w:r>
        <w:rPr>
          <w:rFonts w:hint="eastAsia" w:ascii="Times New Roman" w:hAnsi="Times New Roman" w:eastAsia="宋体" w:cs="Times New Roman"/>
          <w:snapToGrid/>
          <w:color w:val="auto"/>
          <w:sz w:val="24"/>
          <w:szCs w:val="28"/>
          <w:highlight w:val="none"/>
          <w:lang w:val="en-US" w:eastAsia="zh-CN"/>
        </w:rPr>
        <w:t>非涉密</w:t>
      </w:r>
      <w:r>
        <w:rPr>
          <w:rFonts w:hint="eastAsia" w:ascii="Times New Roman" w:hAnsi="Times New Roman" w:eastAsia="宋体" w:cs="Times New Roman"/>
          <w:snapToGrid/>
          <w:color w:val="auto"/>
          <w:sz w:val="24"/>
          <w:szCs w:val="28"/>
          <w:highlight w:val="none"/>
        </w:rPr>
        <w:t>智能汽车基础地图数据分类分级管理</w:t>
      </w:r>
      <w:r>
        <w:rPr>
          <w:rFonts w:hint="eastAsia" w:ascii="Times New Roman" w:hAnsi="Times New Roman" w:eastAsia="宋体" w:cs="Times New Roman"/>
          <w:snapToGrid/>
          <w:color w:val="auto"/>
          <w:sz w:val="24"/>
          <w:szCs w:val="28"/>
          <w:highlight w:val="none"/>
          <w:lang w:val="en-US" w:eastAsia="zh-CN"/>
        </w:rPr>
        <w:t>的技术文件</w:t>
      </w:r>
      <w:r>
        <w:rPr>
          <w:rFonts w:hint="eastAsia" w:ascii="Times New Roman" w:hAnsi="Times New Roman" w:eastAsia="宋体" w:cs="Times New Roman"/>
          <w:snapToGrid/>
          <w:color w:val="auto"/>
          <w:sz w:val="24"/>
          <w:szCs w:val="28"/>
          <w:highlight w:val="none"/>
        </w:rPr>
        <w:t>。</w:t>
      </w:r>
    </w:p>
    <w:p w14:paraId="3924B425">
      <w:pPr>
        <w:spacing w:line="360" w:lineRule="auto"/>
        <w:ind w:firstLine="480" w:firstLineChars="200"/>
        <w:jc w:val="both"/>
        <w:rPr>
          <w:rFonts w:hint="eastAsia"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作为我国智能汽车基础地图标准体系中“基础通用部分”的重要标准，本文件的制定，从测绘领域行业层面规范智能汽车基础地图数据分类分级，建立统一的分类框架</w:t>
      </w:r>
      <w:r>
        <w:rPr>
          <w:rFonts w:hint="eastAsia" w:ascii="Times New Roman" w:hAnsi="Times New Roman" w:eastAsia="宋体" w:cs="Times New Roman"/>
          <w:snapToGrid/>
          <w:color w:val="auto"/>
          <w:sz w:val="24"/>
          <w:szCs w:val="28"/>
          <w:highlight w:val="none"/>
          <w:lang w:val="en-US" w:eastAsia="zh-CN"/>
        </w:rPr>
        <w:t>与</w:t>
      </w:r>
      <w:r>
        <w:rPr>
          <w:rFonts w:hint="eastAsia" w:ascii="Times New Roman" w:hAnsi="Times New Roman" w:eastAsia="宋体" w:cs="Times New Roman"/>
          <w:snapToGrid/>
          <w:color w:val="auto"/>
          <w:sz w:val="24"/>
          <w:szCs w:val="28"/>
          <w:highlight w:val="none"/>
        </w:rPr>
        <w:t>规则、分级框架</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lang w:val="en-US" w:eastAsia="zh-CN"/>
        </w:rPr>
        <w:t>分级要素、影响分析、级别确定</w:t>
      </w:r>
      <w:r>
        <w:rPr>
          <w:rFonts w:hint="eastAsia" w:ascii="Times New Roman" w:hAnsi="Times New Roman" w:eastAsia="宋体" w:cs="Times New Roman"/>
          <w:snapToGrid/>
          <w:color w:val="auto"/>
          <w:sz w:val="24"/>
          <w:szCs w:val="28"/>
          <w:highlight w:val="none"/>
        </w:rPr>
        <w:t>，</w:t>
      </w:r>
      <w:r>
        <w:rPr>
          <w:rFonts w:hint="eastAsia" w:ascii="Times New Roman" w:hAnsi="Times New Roman" w:eastAsia="宋体" w:cs="Times New Roman"/>
          <w:snapToGrid/>
          <w:color w:val="auto"/>
          <w:sz w:val="24"/>
          <w:szCs w:val="28"/>
          <w:highlight w:val="none"/>
          <w:lang w:val="en-US" w:eastAsia="zh-CN"/>
        </w:rPr>
        <w:t>对应智能汽车基础地图数据现有各种安全保护技术措施，</w:t>
      </w:r>
      <w:r>
        <w:rPr>
          <w:rFonts w:hint="eastAsia" w:ascii="Times New Roman" w:hAnsi="Times New Roman" w:eastAsia="宋体" w:cs="Times New Roman"/>
          <w:snapToGrid/>
          <w:color w:val="auto"/>
          <w:sz w:val="24"/>
          <w:szCs w:val="28"/>
          <w:highlight w:val="none"/>
        </w:rPr>
        <w:t>为智能汽车基础地图</w:t>
      </w:r>
      <w:r>
        <w:rPr>
          <w:rFonts w:hint="eastAsia" w:ascii="Times New Roman" w:hAnsi="Times New Roman" w:eastAsia="宋体" w:cs="Times New Roman"/>
          <w:snapToGrid/>
          <w:color w:val="auto"/>
          <w:sz w:val="24"/>
          <w:szCs w:val="28"/>
          <w:highlight w:val="none"/>
          <w:lang w:val="en-US" w:eastAsia="zh-CN"/>
        </w:rPr>
        <w:t>高质量发展</w:t>
      </w:r>
      <w:r>
        <w:rPr>
          <w:rFonts w:hint="eastAsia" w:ascii="Times New Roman" w:hAnsi="Times New Roman" w:eastAsia="宋体" w:cs="Times New Roman"/>
          <w:snapToGrid/>
          <w:color w:val="auto"/>
          <w:sz w:val="24"/>
          <w:szCs w:val="28"/>
          <w:highlight w:val="none"/>
        </w:rPr>
        <w:t>提供基础支撑。</w:t>
      </w:r>
    </w:p>
    <w:p w14:paraId="501FCC94">
      <w:pPr>
        <w:pStyle w:val="5"/>
        <w:rPr>
          <w:color w:val="auto"/>
          <w:sz w:val="2"/>
          <w:szCs w:val="2"/>
          <w:highlight w:val="none"/>
        </w:rPr>
      </w:pPr>
    </w:p>
    <w:p w14:paraId="6EF81B23">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4" w:name="_Toc27543"/>
      <w:r>
        <w:rPr>
          <w:rFonts w:hint="eastAsia" w:ascii="Times New Roman" w:hAnsi="Times New Roman" w:eastAsia="宋体" w:cs="Times New Roman"/>
          <w:b/>
          <w:bCs/>
          <w:color w:val="auto"/>
          <w:sz w:val="24"/>
          <w:szCs w:val="28"/>
          <w:highlight w:val="none"/>
        </w:rPr>
        <w:t>采用国际标准和国外先进标准的程度，以及与国际、国外同类标准水平的对比情况，或与测试的国外样品、样机的有关数据对比情况</w:t>
      </w:r>
      <w:bookmarkEnd w:id="24"/>
    </w:p>
    <w:p w14:paraId="3F35F198">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无。</w:t>
      </w:r>
    </w:p>
    <w:p w14:paraId="13823302">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5" w:name="_Toc15235"/>
      <w:r>
        <w:rPr>
          <w:rFonts w:hint="eastAsia" w:ascii="Times New Roman" w:hAnsi="Times New Roman" w:eastAsia="宋体" w:cs="Times New Roman"/>
          <w:b/>
          <w:bCs/>
          <w:color w:val="auto"/>
          <w:sz w:val="24"/>
          <w:szCs w:val="28"/>
          <w:highlight w:val="none"/>
        </w:rPr>
        <w:t>与有关的现行法律、法规和强制性标准的关系</w:t>
      </w:r>
      <w:bookmarkEnd w:id="25"/>
    </w:p>
    <w:p w14:paraId="04EB7E97">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本文件属于我国智能汽车基础地图标准体系中“基础通用部分”的关键性技术标准，聚焦</w:t>
      </w:r>
      <w:r>
        <w:rPr>
          <w:rFonts w:hint="eastAsia" w:ascii="Times New Roman" w:hAnsi="Times New Roman" w:eastAsia="宋体" w:cs="Times New Roman"/>
          <w:snapToGrid/>
          <w:color w:val="auto"/>
          <w:sz w:val="24"/>
          <w:szCs w:val="28"/>
          <w:highlight w:val="none"/>
          <w:lang w:val="en-US" w:eastAsia="zh-CN"/>
        </w:rPr>
        <w:t>非涉密</w:t>
      </w:r>
      <w:r>
        <w:rPr>
          <w:rFonts w:hint="eastAsia" w:ascii="Times New Roman" w:hAnsi="Times New Roman" w:eastAsia="宋体" w:cs="Times New Roman"/>
          <w:snapToGrid/>
          <w:color w:val="auto"/>
          <w:sz w:val="24"/>
          <w:szCs w:val="28"/>
          <w:highlight w:val="none"/>
        </w:rPr>
        <w:t>智能汽车基础地图</w:t>
      </w:r>
      <w:r>
        <w:rPr>
          <w:rFonts w:hint="eastAsia" w:ascii="Times New Roman" w:hAnsi="Times New Roman" w:eastAsia="宋体" w:cs="Times New Roman"/>
          <w:snapToGrid/>
          <w:color w:val="auto"/>
          <w:sz w:val="24"/>
          <w:szCs w:val="28"/>
          <w:highlight w:val="none"/>
          <w:lang w:val="en-US" w:eastAsia="zh-CN"/>
        </w:rPr>
        <w:t>数据</w:t>
      </w:r>
      <w:r>
        <w:rPr>
          <w:rFonts w:hint="eastAsia" w:ascii="Times New Roman" w:hAnsi="Times New Roman" w:eastAsia="宋体" w:cs="Times New Roman"/>
          <w:snapToGrid/>
          <w:color w:val="auto"/>
          <w:sz w:val="24"/>
          <w:szCs w:val="28"/>
          <w:highlight w:val="none"/>
        </w:rPr>
        <w:t>应用过程中的分类分级问题，提出智能汽车基础地图数据分类分级</w:t>
      </w:r>
      <w:r>
        <w:rPr>
          <w:rFonts w:hint="eastAsia" w:ascii="Times New Roman" w:hAnsi="Times New Roman" w:eastAsia="宋体" w:cs="Times New Roman"/>
          <w:snapToGrid/>
          <w:color w:val="auto"/>
          <w:sz w:val="24"/>
          <w:szCs w:val="28"/>
          <w:highlight w:val="none"/>
          <w:lang w:val="en-US" w:eastAsia="zh-CN"/>
        </w:rPr>
        <w:t>的基本原则、数据分类和分级内容</w:t>
      </w:r>
      <w:r>
        <w:rPr>
          <w:rFonts w:ascii="Times New Roman" w:hAnsi="Times New Roman" w:eastAsia="宋体" w:cs="Times New Roman"/>
          <w:snapToGrid/>
          <w:color w:val="auto"/>
          <w:sz w:val="24"/>
          <w:szCs w:val="28"/>
          <w:highlight w:val="none"/>
        </w:rPr>
        <w:t>。</w:t>
      </w:r>
      <w:r>
        <w:rPr>
          <w:rFonts w:hint="eastAsia" w:ascii="Times New Roman" w:hAnsi="Times New Roman" w:eastAsia="宋体" w:cs="Times New Roman"/>
          <w:snapToGrid/>
          <w:color w:val="auto"/>
          <w:sz w:val="24"/>
          <w:szCs w:val="28"/>
          <w:highlight w:val="none"/>
        </w:rPr>
        <w:t>本文件符合国家有关</w:t>
      </w:r>
      <w:r>
        <w:rPr>
          <w:rFonts w:hint="eastAsia" w:ascii="Times New Roman" w:hAnsi="Times New Roman" w:eastAsia="宋体" w:cs="Times New Roman"/>
          <w:snapToGrid/>
          <w:color w:val="auto"/>
          <w:sz w:val="24"/>
          <w:szCs w:val="28"/>
          <w:highlight w:val="none"/>
          <w:lang w:eastAsia="zh-CN"/>
        </w:rPr>
        <w:t>法律法规</w:t>
      </w:r>
      <w:r>
        <w:rPr>
          <w:rFonts w:hint="eastAsia" w:ascii="Times New Roman" w:hAnsi="Times New Roman" w:eastAsia="宋体" w:cs="Times New Roman"/>
          <w:snapToGrid/>
          <w:color w:val="auto"/>
          <w:sz w:val="24"/>
          <w:szCs w:val="28"/>
          <w:highlight w:val="none"/>
        </w:rPr>
        <w:t>和相关强制性标准的要求，与现行的国家标准、行业标准相协调。具体来说：</w:t>
      </w:r>
    </w:p>
    <w:p w14:paraId="5964166F">
      <w:pPr>
        <w:spacing w:line="360" w:lineRule="auto"/>
        <w:ind w:firstLine="482"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b/>
          <w:bCs/>
          <w:snapToGrid/>
          <w:color w:val="auto"/>
          <w:sz w:val="24"/>
          <w:szCs w:val="28"/>
          <w:highlight w:val="none"/>
        </w:rPr>
        <w:t>政策法规层面</w:t>
      </w:r>
      <w:r>
        <w:rPr>
          <w:rFonts w:hint="eastAsia" w:ascii="Times New Roman" w:hAnsi="Times New Roman" w:eastAsia="宋体" w:cs="Times New Roman"/>
          <w:snapToGrid/>
          <w:color w:val="auto"/>
          <w:sz w:val="24"/>
          <w:szCs w:val="28"/>
          <w:highlight w:val="none"/>
        </w:rPr>
        <w:t>，本文件主要聚焦智能汽车基础地图分类分级管理环节，针对我国地理信息安全和智能汽车发展相关国家重大战略部署或政策新规，如</w:t>
      </w:r>
      <w:r>
        <w:rPr>
          <w:rFonts w:hint="eastAsia" w:ascii="Times New Roman" w:hAnsi="Times New Roman" w:eastAsia="宋体" w:cs="Times New Roman"/>
          <w:snapToGrid/>
          <w:color w:val="auto"/>
          <w:sz w:val="24"/>
          <w:szCs w:val="28"/>
          <w:highlight w:val="none"/>
          <w:lang w:val="en-US" w:eastAsia="zh-CN"/>
        </w:rPr>
        <w:t>《汽车数据安全管理若干规定（试行）》（国家互联网信息办公室、中华人民共和国国家发展和改革委员会、中华人民共和国工业和信息化部、中华人民共和国公安部、中华人民共和国交通运输部令第7号）</w:t>
      </w:r>
      <w:r>
        <w:rPr>
          <w:rFonts w:hint="eastAsia" w:ascii="Times New Roman" w:hAnsi="Times New Roman" w:eastAsia="宋体" w:cs="Times New Roman"/>
          <w:snapToGrid/>
          <w:color w:val="auto"/>
          <w:sz w:val="24"/>
          <w:szCs w:val="28"/>
          <w:highlight w:val="none"/>
        </w:rPr>
        <w:t>《自然资源部关于印发〈自然资源领域数据安全管理办法〉的通知》（自然资发〔2024〕57号）《自然资源部关于加强智能网联汽车有关测绘地理信息安全管理的通知》（自然资发〔2024〕139号）</w:t>
      </w:r>
      <w:r>
        <w:rPr>
          <w:rFonts w:hint="eastAsia" w:ascii="Times New Roman" w:hAnsi="Times New Roman" w:eastAsia="宋体" w:cs="Times New Roman"/>
          <w:snapToGrid/>
          <w:color w:val="auto"/>
          <w:sz w:val="24"/>
          <w:szCs w:val="28"/>
          <w:highlight w:val="none"/>
          <w:lang w:val="en-US" w:eastAsia="zh-CN"/>
        </w:rPr>
        <w:t>以及《自然资源部办公厅关于印发〈地理信息数据分类分级工作指南（试行）〉的通知》（自然资办发〔2025〕11号）</w:t>
      </w:r>
      <w:r>
        <w:rPr>
          <w:rFonts w:hint="eastAsia" w:ascii="Times New Roman" w:hAnsi="Times New Roman" w:eastAsia="宋体" w:cs="Times New Roman"/>
          <w:snapToGrid/>
          <w:color w:val="auto"/>
          <w:sz w:val="24"/>
          <w:szCs w:val="28"/>
          <w:highlight w:val="none"/>
        </w:rPr>
        <w:t>所提到的</w:t>
      </w:r>
      <w:r>
        <w:rPr>
          <w:rFonts w:hint="eastAsia" w:ascii="Times New Roman" w:hAnsi="Times New Roman" w:eastAsia="宋体" w:cs="Times New Roman"/>
          <w:snapToGrid/>
          <w:color w:val="auto"/>
          <w:sz w:val="24"/>
          <w:szCs w:val="28"/>
          <w:highlight w:val="none"/>
          <w:lang w:eastAsia="zh-CN"/>
        </w:rPr>
        <w:t>“军事管理区、国防科工单位以及县级以上党政机关等重要敏感区域</w:t>
      </w:r>
      <w:r>
        <w:rPr>
          <w:rFonts w:hint="eastAsia" w:ascii="Times New Roman" w:hAnsi="Times New Roman" w:eastAsia="宋体" w:cs="Times New Roman"/>
          <w:snapToGrid/>
          <w:color w:val="auto"/>
          <w:sz w:val="24"/>
          <w:szCs w:val="28"/>
          <w:highlight w:val="none"/>
          <w:lang w:val="en-US" w:eastAsia="zh-CN"/>
        </w:rPr>
        <w:t>的地理信息</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“自然资源领域数据分类类别</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一般数据、重要数据和核心数据分级</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智能网联汽车使用的基础地图、高级辅助驾驶地图、高精度地图、自动驾驶地图等属于导航电子地图”</w:t>
      </w:r>
      <w:r>
        <w:rPr>
          <w:rFonts w:hint="eastAsia" w:ascii="Times New Roman" w:hAnsi="Times New Roman" w:eastAsia="宋体" w:cs="Times New Roman"/>
          <w:snapToGrid/>
          <w:color w:val="auto"/>
          <w:sz w:val="24"/>
          <w:szCs w:val="28"/>
          <w:highlight w:val="none"/>
          <w:lang w:eastAsia="zh-CN"/>
        </w:rPr>
        <w:t>“在地理信息数据分类已有大类、中类基础上，可根据数据管理实际和应用服务场景再细化分类”“覆盖全国范围且具有较大规模，关系国家经济命脉、 重要民生和重大公共利益、影响政治安全的地理信息重要数据判定为核心数据”，</w:t>
      </w:r>
      <w:r>
        <w:rPr>
          <w:rFonts w:hint="eastAsia" w:ascii="Times New Roman" w:hAnsi="Times New Roman" w:eastAsia="宋体" w:cs="Times New Roman"/>
          <w:snapToGrid/>
          <w:color w:val="auto"/>
          <w:sz w:val="24"/>
          <w:szCs w:val="28"/>
          <w:highlight w:val="none"/>
        </w:rPr>
        <w:t>以及</w:t>
      </w:r>
      <w:r>
        <w:rPr>
          <w:rFonts w:hint="eastAsia" w:ascii="Times New Roman" w:hAnsi="Times New Roman" w:eastAsia="宋体" w:cs="Times New Roman"/>
          <w:snapToGrid/>
          <w:color w:val="auto"/>
          <w:sz w:val="24"/>
          <w:szCs w:val="28"/>
          <w:highlight w:val="none"/>
          <w:lang w:val="en-US" w:eastAsia="zh-CN"/>
        </w:rPr>
        <w:t>自然资源部和</w:t>
      </w:r>
      <w:r>
        <w:rPr>
          <w:rFonts w:hint="eastAsia" w:ascii="Times New Roman" w:hAnsi="Times New Roman" w:eastAsia="宋体" w:cs="Times New Roman"/>
          <w:snapToGrid/>
          <w:color w:val="auto"/>
          <w:sz w:val="24"/>
          <w:szCs w:val="28"/>
          <w:highlight w:val="none"/>
        </w:rPr>
        <w:t>工业和信息化部等</w:t>
      </w:r>
      <w:r>
        <w:rPr>
          <w:rFonts w:hint="eastAsia" w:ascii="Times New Roman" w:hAnsi="Times New Roman" w:eastAsia="宋体" w:cs="Times New Roman"/>
          <w:snapToGrid/>
          <w:color w:val="auto"/>
          <w:sz w:val="24"/>
          <w:szCs w:val="28"/>
          <w:highlight w:val="none"/>
          <w:lang w:val="en-US" w:eastAsia="zh-CN"/>
        </w:rPr>
        <w:t>多</w:t>
      </w:r>
      <w:r>
        <w:rPr>
          <w:rFonts w:hint="eastAsia" w:ascii="Times New Roman" w:hAnsi="Times New Roman" w:eastAsia="宋体" w:cs="Times New Roman"/>
          <w:snapToGrid/>
          <w:color w:val="auto"/>
          <w:sz w:val="24"/>
          <w:szCs w:val="28"/>
          <w:highlight w:val="none"/>
        </w:rPr>
        <w:t>部委</w:t>
      </w:r>
      <w:r>
        <w:rPr>
          <w:rFonts w:hint="eastAsia" w:ascii="Times New Roman" w:hAnsi="Times New Roman" w:eastAsia="宋体" w:cs="Times New Roman"/>
          <w:snapToGrid/>
          <w:color w:val="auto"/>
          <w:sz w:val="24"/>
          <w:szCs w:val="28"/>
          <w:highlight w:val="none"/>
          <w:lang w:val="en-US" w:eastAsia="zh-CN"/>
        </w:rPr>
        <w:t>联合开展的“</w:t>
      </w:r>
      <w:r>
        <w:rPr>
          <w:rFonts w:hint="eastAsia" w:ascii="Times New Roman" w:hAnsi="Times New Roman" w:eastAsia="宋体" w:cs="Times New Roman"/>
          <w:snapToGrid/>
          <w:color w:val="auto"/>
          <w:sz w:val="24"/>
          <w:szCs w:val="28"/>
          <w:highlight w:val="none"/>
          <w:lang w:eastAsia="zh-CN"/>
        </w:rPr>
        <w:t>联网汽车运行及自动驾驶重要数据识别指引”</w:t>
      </w:r>
      <w:r>
        <w:rPr>
          <w:rFonts w:hint="eastAsia" w:ascii="Times New Roman" w:hAnsi="Times New Roman" w:eastAsia="宋体" w:cs="Times New Roman"/>
          <w:snapToGrid/>
          <w:color w:val="auto"/>
          <w:sz w:val="24"/>
          <w:szCs w:val="28"/>
          <w:highlight w:val="none"/>
          <w:lang w:val="en-US" w:eastAsia="zh-CN"/>
        </w:rPr>
        <w:t>相关工作</w:t>
      </w:r>
      <w:r>
        <w:rPr>
          <w:rFonts w:hint="eastAsia" w:ascii="Times New Roman" w:hAnsi="Times New Roman" w:eastAsia="宋体" w:cs="Times New Roman"/>
          <w:snapToGrid/>
          <w:color w:val="auto"/>
          <w:sz w:val="24"/>
          <w:szCs w:val="28"/>
          <w:highlight w:val="none"/>
        </w:rPr>
        <w:t>的</w:t>
      </w:r>
      <w:r>
        <w:rPr>
          <w:rFonts w:hint="eastAsia" w:ascii="Times New Roman" w:hAnsi="Times New Roman" w:eastAsia="宋体" w:cs="Times New Roman"/>
          <w:snapToGrid/>
          <w:color w:val="auto"/>
          <w:sz w:val="24"/>
          <w:szCs w:val="28"/>
          <w:highlight w:val="none"/>
          <w:lang w:val="en-US" w:eastAsia="zh-CN"/>
        </w:rPr>
        <w:t>指示要求</w:t>
      </w:r>
      <w:r>
        <w:rPr>
          <w:rFonts w:hint="eastAsia" w:ascii="Times New Roman" w:hAnsi="Times New Roman" w:eastAsia="宋体" w:cs="Times New Roman"/>
          <w:snapToGrid/>
          <w:color w:val="auto"/>
          <w:sz w:val="24"/>
          <w:szCs w:val="28"/>
          <w:highlight w:val="none"/>
        </w:rPr>
        <w:t>，</w:t>
      </w:r>
      <w:r>
        <w:rPr>
          <w:rFonts w:hint="eastAsia" w:ascii="Times New Roman" w:hAnsi="Times New Roman" w:eastAsia="宋体" w:cs="Times New Roman"/>
          <w:b/>
          <w:bCs/>
          <w:snapToGrid/>
          <w:color w:val="auto"/>
          <w:sz w:val="24"/>
          <w:szCs w:val="28"/>
          <w:highlight w:val="none"/>
        </w:rPr>
        <w:t>本文件均符合上述要求并做到有效呼应</w:t>
      </w:r>
      <w:r>
        <w:rPr>
          <w:rFonts w:hint="eastAsia" w:ascii="Times New Roman" w:hAnsi="Times New Roman" w:eastAsia="宋体" w:cs="Times New Roman"/>
          <w:snapToGrid/>
          <w:color w:val="auto"/>
          <w:sz w:val="24"/>
          <w:szCs w:val="28"/>
          <w:highlight w:val="none"/>
        </w:rPr>
        <w:t>。</w:t>
      </w:r>
    </w:p>
    <w:p w14:paraId="6FBD8746">
      <w:pPr>
        <w:spacing w:line="360" w:lineRule="auto"/>
        <w:ind w:firstLine="482"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b/>
          <w:bCs/>
          <w:snapToGrid/>
          <w:color w:val="auto"/>
          <w:sz w:val="24"/>
          <w:szCs w:val="28"/>
          <w:highlight w:val="none"/>
        </w:rPr>
        <w:t>标准关系层面</w:t>
      </w:r>
      <w:r>
        <w:rPr>
          <w:rFonts w:hint="eastAsia" w:ascii="Times New Roman" w:hAnsi="Times New Roman" w:eastAsia="宋体" w:cs="Times New Roman"/>
          <w:snapToGrid/>
          <w:color w:val="auto"/>
          <w:sz w:val="24"/>
          <w:szCs w:val="28"/>
          <w:highlight w:val="none"/>
        </w:rPr>
        <w:t>，本文件</w:t>
      </w:r>
      <w:r>
        <w:rPr>
          <w:rFonts w:hint="eastAsia" w:ascii="Times New Roman" w:hAnsi="Times New Roman" w:eastAsia="宋体" w:cs="Times New Roman"/>
          <w:snapToGrid/>
          <w:color w:val="auto"/>
          <w:sz w:val="24"/>
          <w:szCs w:val="28"/>
          <w:highlight w:val="none"/>
          <w:lang w:val="en-US" w:eastAsia="zh-CN"/>
        </w:rPr>
        <w:t>是</w:t>
      </w:r>
      <w:r>
        <w:rPr>
          <w:rFonts w:hint="eastAsia" w:ascii="Times New Roman" w:hAnsi="Times New Roman" w:eastAsia="宋体" w:cs="Times New Roman"/>
          <w:snapToGrid/>
          <w:color w:val="auto"/>
          <w:sz w:val="24"/>
          <w:szCs w:val="28"/>
          <w:highlight w:val="none"/>
        </w:rPr>
        <w:t>在</w:t>
      </w:r>
      <w:r>
        <w:rPr>
          <w:rFonts w:hint="eastAsia" w:ascii="Times New Roman" w:hAnsi="Times New Roman" w:eastAsia="宋体" w:cs="Times New Roman"/>
          <w:snapToGrid/>
          <w:color w:val="auto"/>
          <w:sz w:val="24"/>
          <w:szCs w:val="28"/>
          <w:highlight w:val="none"/>
          <w:lang w:eastAsia="zh-CN"/>
        </w:rPr>
        <w:t>《数据安全技术 数据分类分级规则》（</w:t>
      </w:r>
      <w:r>
        <w:rPr>
          <w:rFonts w:hint="eastAsia" w:ascii="Times New Roman" w:hAnsi="Times New Roman" w:eastAsia="宋体" w:cs="Times New Roman"/>
          <w:snapToGrid/>
          <w:color w:val="auto"/>
          <w:sz w:val="24"/>
          <w:szCs w:val="28"/>
          <w:highlight w:val="none"/>
        </w:rPr>
        <w:t>GB/T 43697</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rPr>
        <w:t>等国家数据分类分级框架下</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lang w:val="en-US" w:eastAsia="zh-CN"/>
        </w:rPr>
        <w:t>针对本领域智能汽车基础地图数据进一步细化，涉及</w:t>
      </w:r>
      <w:r>
        <w:rPr>
          <w:rFonts w:hint="eastAsia" w:ascii="Times New Roman" w:hAnsi="Times New Roman" w:eastAsia="宋体" w:cs="Times New Roman"/>
          <w:snapToGrid/>
          <w:color w:val="auto"/>
          <w:sz w:val="24"/>
          <w:szCs w:val="28"/>
          <w:highlight w:val="none"/>
        </w:rPr>
        <w:t>智能汽车基础地图</w:t>
      </w:r>
      <w:r>
        <w:rPr>
          <w:rFonts w:hint="eastAsia" w:ascii="Times New Roman" w:hAnsi="Times New Roman" w:eastAsia="宋体" w:cs="Times New Roman"/>
          <w:snapToGrid/>
          <w:color w:val="auto"/>
          <w:sz w:val="24"/>
          <w:szCs w:val="28"/>
          <w:highlight w:val="none"/>
          <w:lang w:val="en-US" w:eastAsia="zh-CN"/>
        </w:rPr>
        <w:t>采集上传、更新处理和服务分发等3个类目，涉及轨迹类数据、影像类数据、点云类数据、惯导类数据、构图类数据、产品库数据、标准导航电子地图产品数据、高级辅助驾驶地图数据、高级别自动驾驶地图数据、其他数据等10个细化类目</w:t>
      </w:r>
      <w:r>
        <w:rPr>
          <w:rFonts w:hint="eastAsia" w:ascii="Times New Roman" w:hAnsi="Times New Roman" w:eastAsia="宋体" w:cs="Times New Roman"/>
          <w:snapToGrid/>
          <w:color w:val="auto"/>
          <w:sz w:val="24"/>
          <w:szCs w:val="28"/>
          <w:highlight w:val="none"/>
        </w:rPr>
        <w:t>，对应分类分级</w:t>
      </w:r>
      <w:r>
        <w:rPr>
          <w:rFonts w:hint="eastAsia" w:ascii="Times New Roman" w:hAnsi="Times New Roman" w:eastAsia="宋体" w:cs="Times New Roman"/>
          <w:snapToGrid/>
          <w:color w:val="auto"/>
          <w:sz w:val="24"/>
          <w:szCs w:val="28"/>
          <w:highlight w:val="none"/>
          <w:lang w:val="en-US" w:eastAsia="zh-CN"/>
        </w:rPr>
        <w:t>规则</w:t>
      </w:r>
      <w:r>
        <w:rPr>
          <w:rFonts w:hint="eastAsia" w:ascii="Times New Roman" w:hAnsi="Times New Roman" w:eastAsia="宋体" w:cs="Times New Roman"/>
          <w:snapToGrid/>
          <w:color w:val="auto"/>
          <w:sz w:val="24"/>
          <w:szCs w:val="28"/>
          <w:highlight w:val="none"/>
        </w:rPr>
        <w:t>是在《智能网联汽车时空数据安全处理基本要求》（</w:t>
      </w:r>
      <w:r>
        <w:rPr>
          <w:rFonts w:ascii="Times New Roman" w:hAnsi="Times New Roman" w:cs="Times New Roman"/>
          <w:color w:val="auto"/>
          <w:sz w:val="24"/>
          <w:szCs w:val="24"/>
          <w:highlight w:val="none"/>
        </w:rPr>
        <w:t>GB</w:t>
      </w:r>
      <w:r>
        <w:rPr>
          <w:rFonts w:hint="eastAsia" w:ascii="Times New Roman" w:hAnsi="Times New Roman" w:eastAsia="宋体" w:cs="Times New Roman"/>
          <w:color w:val="auto"/>
          <w:sz w:val="24"/>
          <w:szCs w:val="24"/>
          <w:highlight w:val="none"/>
        </w:rPr>
        <w:t xml:space="preserve"> </w:t>
      </w:r>
      <w:r>
        <w:rPr>
          <w:rFonts w:ascii="Times New Roman" w:hAnsi="Times New Roman" w:cs="Times New Roman"/>
          <w:color w:val="auto"/>
          <w:sz w:val="24"/>
          <w:szCs w:val="24"/>
          <w:highlight w:val="none"/>
        </w:rPr>
        <w:t>XXXXX</w:t>
      </w:r>
      <w:r>
        <w:rPr>
          <w:rFonts w:hint="eastAsia" w:ascii="Times New Roman" w:hAnsi="Times New Roman" w:eastAsia="宋体" w:cs="Times New Roman"/>
          <w:snapToGrid/>
          <w:color w:val="auto"/>
          <w:sz w:val="24"/>
          <w:szCs w:val="28"/>
          <w:highlight w:val="none"/>
        </w:rPr>
        <w:t>—</w:t>
      </w:r>
      <w:r>
        <w:rPr>
          <w:rFonts w:hint="eastAsia" w:ascii="Times New Roman" w:hAnsi="Times New Roman" w:eastAsia="宋体" w:cs="Times New Roman"/>
          <w:color w:val="auto"/>
          <w:sz w:val="24"/>
          <w:szCs w:val="24"/>
          <w:highlight w:val="none"/>
        </w:rPr>
        <w:t>XXXX</w:t>
      </w:r>
      <w:r>
        <w:rPr>
          <w:rFonts w:ascii="Times New Roman" w:hAnsi="Times New Roman" w:eastAsia="宋体" w:cs="Times New Roman"/>
          <w:snapToGrid/>
          <w:color w:val="auto"/>
          <w:sz w:val="24"/>
          <w:szCs w:val="28"/>
          <w:highlight w:val="none"/>
        </w:rPr>
        <w:t>）</w:t>
      </w:r>
      <w:r>
        <w:rPr>
          <w:rFonts w:hint="eastAsia" w:ascii="Times New Roman" w:hAnsi="Times New Roman" w:eastAsia="宋体" w:cs="Times New Roman"/>
          <w:snapToGrid/>
          <w:color w:val="auto"/>
          <w:sz w:val="24"/>
          <w:szCs w:val="28"/>
          <w:highlight w:val="none"/>
          <w:lang w:eastAsia="zh-CN"/>
        </w:rPr>
        <w:t>、《智能网联汽车时空数据传感系统安全基本要求》（GB XXXXX—XXXX）</w:t>
      </w:r>
      <w:r>
        <w:rPr>
          <w:rFonts w:ascii="Times New Roman" w:hAnsi="Times New Roman" w:eastAsia="宋体" w:cs="Times New Roman"/>
          <w:snapToGrid/>
          <w:color w:val="auto"/>
          <w:sz w:val="24"/>
          <w:szCs w:val="28"/>
          <w:highlight w:val="none"/>
        </w:rPr>
        <w:t>和《导航电子地图安全处理技术基本要求》</w:t>
      </w:r>
      <w:r>
        <w:rPr>
          <w:rFonts w:hint="eastAsia" w:ascii="Times New Roman" w:hAnsi="Times New Roman" w:eastAsia="宋体" w:cs="Times New Roman"/>
          <w:snapToGrid/>
          <w:color w:val="auto"/>
          <w:sz w:val="24"/>
          <w:szCs w:val="28"/>
          <w:highlight w:val="none"/>
        </w:rPr>
        <w:t>（</w:t>
      </w:r>
      <w:r>
        <w:rPr>
          <w:rFonts w:ascii="Times New Roman" w:hAnsi="Times New Roman" w:cs="Times New Roman"/>
          <w:color w:val="auto"/>
          <w:sz w:val="24"/>
          <w:szCs w:val="24"/>
          <w:highlight w:val="none"/>
        </w:rPr>
        <w:t>GB</w:t>
      </w:r>
      <w:r>
        <w:rPr>
          <w:rFonts w:hint="eastAsia" w:ascii="Times New Roman" w:hAnsi="Times New Roman" w:eastAsia="宋体" w:cs="Times New Roman"/>
          <w:color w:val="auto"/>
          <w:sz w:val="24"/>
          <w:szCs w:val="24"/>
          <w:highlight w:val="none"/>
        </w:rPr>
        <w:t xml:space="preserve"> </w:t>
      </w:r>
      <w:r>
        <w:rPr>
          <w:rFonts w:hint="eastAsia" w:ascii="Times New Roman" w:hAnsi="Times New Roman" w:cs="Times New Roman"/>
          <w:color w:val="auto"/>
          <w:sz w:val="24"/>
          <w:szCs w:val="24"/>
          <w:highlight w:val="none"/>
        </w:rPr>
        <w:t>20263</w:t>
      </w:r>
      <w:r>
        <w:rPr>
          <w:rFonts w:hint="eastAsia" w:ascii="Times New Roman" w:hAnsi="Times New Roman" w:eastAsia="宋体" w:cs="Times New Roman"/>
          <w:snapToGrid/>
          <w:color w:val="auto"/>
          <w:sz w:val="24"/>
          <w:szCs w:val="28"/>
          <w:highlight w:val="none"/>
        </w:rPr>
        <w:t>）等</w:t>
      </w:r>
      <w:r>
        <w:rPr>
          <w:rFonts w:hint="eastAsia" w:ascii="Times New Roman" w:hAnsi="Times New Roman" w:eastAsia="宋体" w:cs="Times New Roman"/>
          <w:snapToGrid/>
          <w:color w:val="auto"/>
          <w:sz w:val="24"/>
          <w:szCs w:val="28"/>
          <w:highlight w:val="none"/>
          <w:lang w:val="en-US" w:eastAsia="zh-CN"/>
        </w:rPr>
        <w:t>强制性</w:t>
      </w:r>
      <w:r>
        <w:rPr>
          <w:rFonts w:hint="eastAsia" w:ascii="Times New Roman" w:hAnsi="Times New Roman" w:eastAsia="宋体" w:cs="Times New Roman"/>
          <w:snapToGrid/>
          <w:color w:val="auto"/>
          <w:sz w:val="24"/>
          <w:szCs w:val="28"/>
          <w:highlight w:val="none"/>
        </w:rPr>
        <w:t>国家标准</w:t>
      </w:r>
      <w:r>
        <w:rPr>
          <w:rFonts w:hint="eastAsia" w:ascii="Times New Roman" w:hAnsi="Times New Roman" w:eastAsia="宋体" w:cs="Times New Roman"/>
          <w:snapToGrid/>
          <w:color w:val="auto"/>
          <w:sz w:val="24"/>
          <w:szCs w:val="28"/>
          <w:highlight w:val="none"/>
          <w:lang w:val="en-US" w:eastAsia="zh-CN"/>
        </w:rPr>
        <w:t>基本要求</w:t>
      </w:r>
      <w:r>
        <w:rPr>
          <w:rFonts w:hint="eastAsia" w:ascii="Times New Roman" w:hAnsi="Times New Roman" w:eastAsia="宋体" w:cs="Times New Roman"/>
          <w:snapToGrid/>
          <w:color w:val="auto"/>
          <w:sz w:val="24"/>
          <w:szCs w:val="28"/>
          <w:highlight w:val="none"/>
        </w:rPr>
        <w:t>下</w:t>
      </w:r>
      <w:r>
        <w:rPr>
          <w:rFonts w:hint="eastAsia" w:ascii="Times New Roman" w:hAnsi="Times New Roman" w:eastAsia="宋体" w:cs="Times New Roman"/>
          <w:snapToGrid/>
          <w:color w:val="auto"/>
          <w:sz w:val="24"/>
          <w:szCs w:val="28"/>
          <w:highlight w:val="none"/>
          <w:lang w:val="en-US" w:eastAsia="zh-CN"/>
        </w:rPr>
        <w:t>的</w:t>
      </w:r>
      <w:r>
        <w:rPr>
          <w:rFonts w:hint="eastAsia" w:ascii="Times New Roman" w:hAnsi="Times New Roman" w:eastAsia="宋体" w:cs="Times New Roman"/>
          <w:snapToGrid/>
          <w:color w:val="auto"/>
          <w:sz w:val="24"/>
          <w:szCs w:val="28"/>
          <w:highlight w:val="none"/>
        </w:rPr>
        <w:t>技术细化</w:t>
      </w:r>
      <w:r>
        <w:rPr>
          <w:rFonts w:hint="eastAsia" w:ascii="Times New Roman" w:hAnsi="Times New Roman" w:eastAsia="宋体" w:cs="Times New Roman"/>
          <w:snapToGrid/>
          <w:color w:val="auto"/>
          <w:sz w:val="24"/>
          <w:szCs w:val="28"/>
          <w:highlight w:val="none"/>
          <w:lang w:eastAsia="zh-CN"/>
        </w:rPr>
        <w:t>，</w:t>
      </w:r>
      <w:r>
        <w:rPr>
          <w:rFonts w:hint="eastAsia" w:ascii="Times New Roman" w:hAnsi="Times New Roman" w:eastAsia="宋体" w:cs="Times New Roman"/>
          <w:snapToGrid/>
          <w:color w:val="auto"/>
          <w:sz w:val="24"/>
          <w:szCs w:val="28"/>
          <w:highlight w:val="none"/>
          <w:lang w:val="en-US" w:eastAsia="zh-CN"/>
        </w:rPr>
        <w:t>充分考虑智能汽车基础地图数据安全的前提下，明确其分类类目、分级级别、分级要素、影响分析以及对应级别确定等规则</w:t>
      </w:r>
      <w:r>
        <w:rPr>
          <w:rFonts w:hint="eastAsia" w:ascii="Times New Roman" w:hAnsi="Times New Roman" w:eastAsia="宋体" w:cs="Times New Roman"/>
          <w:snapToGrid/>
          <w:color w:val="auto"/>
          <w:sz w:val="24"/>
          <w:szCs w:val="28"/>
          <w:highlight w:val="none"/>
        </w:rPr>
        <w:t>。</w:t>
      </w:r>
      <w:r>
        <w:rPr>
          <w:rFonts w:hint="eastAsia" w:ascii="Times New Roman" w:hAnsi="Times New Roman" w:eastAsia="宋体" w:cs="Times New Roman"/>
          <w:b/>
          <w:bCs/>
          <w:snapToGrid/>
          <w:color w:val="auto"/>
          <w:sz w:val="24"/>
          <w:szCs w:val="28"/>
          <w:highlight w:val="none"/>
        </w:rPr>
        <w:t>相比上述要求型标准，本文件更</w:t>
      </w:r>
      <w:r>
        <w:rPr>
          <w:rFonts w:hint="eastAsia" w:ascii="Times New Roman" w:hAnsi="Times New Roman" w:eastAsia="宋体" w:cs="Times New Roman"/>
          <w:b/>
          <w:bCs/>
          <w:snapToGrid/>
          <w:color w:val="auto"/>
          <w:sz w:val="24"/>
          <w:szCs w:val="28"/>
          <w:highlight w:val="none"/>
          <w:lang w:val="en-US" w:eastAsia="zh-CN"/>
        </w:rPr>
        <w:t>聚焦</w:t>
      </w:r>
      <w:r>
        <w:rPr>
          <w:rFonts w:hint="eastAsia" w:ascii="Times New Roman" w:hAnsi="Times New Roman" w:eastAsia="宋体" w:cs="Times New Roman"/>
          <w:b/>
          <w:bCs/>
          <w:snapToGrid/>
          <w:color w:val="auto"/>
          <w:sz w:val="24"/>
          <w:szCs w:val="28"/>
          <w:highlight w:val="none"/>
        </w:rPr>
        <w:t>智能汽车基础地图</w:t>
      </w:r>
      <w:r>
        <w:rPr>
          <w:rFonts w:hint="eastAsia" w:ascii="Times New Roman" w:hAnsi="Times New Roman" w:eastAsia="宋体" w:cs="Times New Roman"/>
          <w:b/>
          <w:bCs/>
          <w:snapToGrid/>
          <w:color w:val="auto"/>
          <w:sz w:val="24"/>
          <w:szCs w:val="28"/>
          <w:highlight w:val="none"/>
          <w:lang w:val="en-US" w:eastAsia="zh-CN"/>
        </w:rPr>
        <w:t>数据</w:t>
      </w:r>
      <w:r>
        <w:rPr>
          <w:rFonts w:hint="eastAsia" w:ascii="Times New Roman" w:hAnsi="Times New Roman" w:eastAsia="宋体" w:cs="Times New Roman"/>
          <w:b/>
          <w:bCs/>
          <w:snapToGrid/>
          <w:color w:val="auto"/>
          <w:sz w:val="24"/>
          <w:szCs w:val="28"/>
          <w:highlight w:val="none"/>
        </w:rPr>
        <w:t>分类分级</w:t>
      </w:r>
      <w:r>
        <w:rPr>
          <w:rFonts w:hint="eastAsia" w:ascii="Times New Roman" w:hAnsi="Times New Roman" w:eastAsia="宋体" w:cs="Times New Roman"/>
          <w:b/>
          <w:bCs/>
          <w:snapToGrid/>
          <w:color w:val="auto"/>
          <w:sz w:val="24"/>
          <w:szCs w:val="28"/>
          <w:highlight w:val="none"/>
          <w:lang w:val="en-US" w:eastAsia="zh-CN"/>
        </w:rPr>
        <w:t>框架及其对应规则</w:t>
      </w:r>
      <w:r>
        <w:rPr>
          <w:rFonts w:hint="eastAsia" w:ascii="Times New Roman" w:hAnsi="Times New Roman" w:eastAsia="宋体" w:cs="Times New Roman"/>
          <w:b/>
          <w:bCs/>
          <w:snapToGrid/>
          <w:color w:val="auto"/>
          <w:sz w:val="24"/>
          <w:szCs w:val="28"/>
          <w:highlight w:val="none"/>
        </w:rPr>
        <w:t>，</w:t>
      </w:r>
      <w:r>
        <w:rPr>
          <w:rFonts w:hint="eastAsia" w:ascii="Times New Roman" w:hAnsi="Times New Roman" w:eastAsia="宋体" w:cs="Times New Roman"/>
          <w:snapToGrid/>
          <w:color w:val="auto"/>
          <w:sz w:val="24"/>
          <w:szCs w:val="28"/>
          <w:highlight w:val="none"/>
          <w:lang w:val="en-US" w:eastAsia="zh-CN"/>
        </w:rPr>
        <w:t>引导帮助</w:t>
      </w:r>
      <w:r>
        <w:rPr>
          <w:rFonts w:hint="eastAsia" w:ascii="Times New Roman" w:hAnsi="Times New Roman" w:eastAsia="宋体" w:cs="Times New Roman"/>
          <w:snapToGrid/>
          <w:color w:val="auto"/>
          <w:sz w:val="24"/>
          <w:szCs w:val="28"/>
          <w:highlight w:val="none"/>
        </w:rPr>
        <w:t>导航电子地图制作测绘资质单位和汽车制造企业等</w:t>
      </w:r>
      <w:r>
        <w:rPr>
          <w:rFonts w:hint="eastAsia" w:ascii="Times New Roman" w:hAnsi="Times New Roman" w:eastAsia="宋体" w:cs="Times New Roman"/>
          <w:snapToGrid/>
          <w:color w:val="auto"/>
          <w:sz w:val="24"/>
          <w:szCs w:val="28"/>
          <w:highlight w:val="none"/>
          <w:lang w:val="en-US" w:eastAsia="zh-CN"/>
        </w:rPr>
        <w:t>相关应用方，针对非涉密</w:t>
      </w:r>
      <w:r>
        <w:rPr>
          <w:rFonts w:hint="eastAsia" w:ascii="Times New Roman" w:hAnsi="Times New Roman" w:eastAsia="宋体" w:cs="Times New Roman"/>
          <w:snapToGrid/>
          <w:color w:val="auto"/>
          <w:sz w:val="24"/>
          <w:szCs w:val="28"/>
          <w:highlight w:val="none"/>
        </w:rPr>
        <w:t>智能汽车基础地图数据分类分级管理和技术落地达成共识，推动智能汽车基础地图数据安全合规应用。</w:t>
      </w:r>
    </w:p>
    <w:p w14:paraId="54FB784C">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6" w:name="_Toc5094"/>
      <w:r>
        <w:rPr>
          <w:rFonts w:hint="eastAsia" w:ascii="Times New Roman" w:hAnsi="Times New Roman" w:eastAsia="宋体" w:cs="Times New Roman"/>
          <w:b/>
          <w:bCs/>
          <w:color w:val="auto"/>
          <w:sz w:val="24"/>
          <w:szCs w:val="28"/>
          <w:highlight w:val="none"/>
        </w:rPr>
        <w:t>重大分歧意见的处理经过和依</w:t>
      </w:r>
      <w:r>
        <w:rPr>
          <w:rFonts w:ascii="Times New Roman" w:hAnsi="Times New Roman" w:eastAsia="宋体" w:cs="Times New Roman"/>
          <w:b/>
          <w:bCs/>
          <w:color w:val="auto"/>
          <w:sz w:val="24"/>
          <w:szCs w:val="28"/>
          <w:highlight w:val="none"/>
        </w:rPr>
        <w:t>据</w:t>
      </w:r>
      <w:bookmarkEnd w:id="26"/>
    </w:p>
    <w:p w14:paraId="4E42DCCA">
      <w:pPr>
        <w:spacing w:line="360" w:lineRule="auto"/>
        <w:ind w:firstLine="480" w:firstLineChars="200"/>
        <w:jc w:val="both"/>
        <w:rPr>
          <w:color w:val="auto"/>
          <w:highlight w:val="none"/>
        </w:rPr>
      </w:pPr>
      <w:r>
        <w:rPr>
          <w:rFonts w:hint="eastAsia" w:ascii="Times New Roman" w:hAnsi="Times New Roman" w:eastAsia="宋体" w:cs="Times New Roman"/>
          <w:snapToGrid/>
          <w:color w:val="auto"/>
          <w:sz w:val="24"/>
          <w:szCs w:val="28"/>
          <w:highlight w:val="none"/>
        </w:rPr>
        <w:t>无。</w:t>
      </w:r>
    </w:p>
    <w:p w14:paraId="761D21C6">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7" w:name="_Toc4985"/>
      <w:r>
        <w:rPr>
          <w:rFonts w:hint="eastAsia" w:ascii="Times New Roman" w:hAnsi="Times New Roman" w:eastAsia="宋体" w:cs="Times New Roman"/>
          <w:b/>
          <w:bCs/>
          <w:color w:val="auto"/>
          <w:sz w:val="24"/>
          <w:szCs w:val="28"/>
          <w:highlight w:val="none"/>
        </w:rPr>
        <w:t>标准作为强制性标准或推荐性标准的建议</w:t>
      </w:r>
      <w:bookmarkEnd w:id="27"/>
    </w:p>
    <w:p w14:paraId="56A59473">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本文件为自然资源部测绘行业标准，建议作为推荐性标准，供导航电子地图制作测绘资质单位和汽车制造企业等开展智能汽车基础地图数据分类分级管理和应用。</w:t>
      </w:r>
    </w:p>
    <w:p w14:paraId="293CF2CB">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8" w:name="_Toc5882"/>
      <w:r>
        <w:rPr>
          <w:rFonts w:hint="eastAsia" w:ascii="Times New Roman" w:hAnsi="Times New Roman" w:eastAsia="宋体" w:cs="Times New Roman"/>
          <w:b/>
          <w:bCs/>
          <w:color w:val="auto"/>
          <w:sz w:val="24"/>
          <w:szCs w:val="28"/>
          <w:highlight w:val="none"/>
        </w:rPr>
        <w:t>贯彻标准的要求和措施建议（包括组织措施、技术措施、过渡办法等内容）</w:t>
      </w:r>
      <w:bookmarkEnd w:id="28"/>
      <w:r>
        <w:rPr>
          <w:rFonts w:hint="eastAsia" w:ascii="Times New Roman" w:hAnsi="Times New Roman" w:eastAsia="宋体" w:cs="Times New Roman"/>
          <w:b/>
          <w:bCs/>
          <w:color w:val="auto"/>
          <w:sz w:val="24"/>
          <w:szCs w:val="28"/>
          <w:highlight w:val="none"/>
        </w:rPr>
        <w:t xml:space="preserve"> </w:t>
      </w:r>
    </w:p>
    <w:p w14:paraId="223B289E">
      <w:p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本文件的实施需要有关方面政策、管理规定、使用者及提供商的支持，建议：</w:t>
      </w:r>
    </w:p>
    <w:p w14:paraId="52920B31">
      <w:pPr>
        <w:numPr>
          <w:ilvl w:val="0"/>
          <w:numId w:val="6"/>
        </w:numPr>
        <w:spacing w:line="360" w:lineRule="auto"/>
        <w:ind w:firstLine="480" w:firstLineChars="200"/>
        <w:jc w:val="both"/>
        <w:rPr>
          <w:rFonts w:ascii="Times New Roman" w:hAnsi="Times New Roman" w:eastAsia="宋体" w:cs="Times New Roman"/>
          <w:snapToGrid/>
          <w:color w:val="auto"/>
          <w:sz w:val="24"/>
          <w:szCs w:val="28"/>
          <w:highlight w:val="none"/>
        </w:rPr>
      </w:pPr>
      <w:r>
        <w:rPr>
          <w:rFonts w:ascii="Times New Roman" w:hAnsi="Times New Roman" w:eastAsia="宋体" w:cs="Times New Roman"/>
          <w:snapToGrid/>
          <w:color w:val="auto"/>
          <w:sz w:val="24"/>
          <w:szCs w:val="28"/>
          <w:highlight w:val="none"/>
        </w:rPr>
        <w:t>在实施前保证</w:t>
      </w:r>
      <w:r>
        <w:rPr>
          <w:rFonts w:hint="eastAsia" w:ascii="Times New Roman" w:hAnsi="Times New Roman" w:eastAsia="宋体" w:cs="Times New Roman"/>
          <w:snapToGrid/>
          <w:color w:val="auto"/>
          <w:sz w:val="24"/>
          <w:szCs w:val="28"/>
          <w:highlight w:val="none"/>
        </w:rPr>
        <w:t>本文件</w:t>
      </w:r>
      <w:r>
        <w:rPr>
          <w:rFonts w:ascii="Times New Roman" w:hAnsi="Times New Roman" w:eastAsia="宋体" w:cs="Times New Roman"/>
          <w:snapToGrid/>
          <w:color w:val="auto"/>
          <w:sz w:val="24"/>
          <w:szCs w:val="28"/>
          <w:highlight w:val="none"/>
        </w:rPr>
        <w:t>文本的充足供应，使相关领域行业机构、科研院所、社会团体，导航电子地图制作测绘资质单位</w:t>
      </w:r>
      <w:r>
        <w:rPr>
          <w:rFonts w:hint="eastAsia" w:ascii="Times New Roman" w:hAnsi="Times New Roman" w:eastAsia="宋体" w:cs="Times New Roman"/>
          <w:snapToGrid/>
          <w:color w:val="auto"/>
          <w:sz w:val="24"/>
          <w:szCs w:val="28"/>
          <w:highlight w:val="none"/>
        </w:rPr>
        <w:t>和</w:t>
      </w:r>
      <w:r>
        <w:rPr>
          <w:rFonts w:ascii="Times New Roman" w:hAnsi="Times New Roman" w:eastAsia="宋体" w:cs="Times New Roman"/>
          <w:snapToGrid/>
          <w:color w:val="auto"/>
          <w:sz w:val="24"/>
          <w:szCs w:val="28"/>
          <w:highlight w:val="none"/>
        </w:rPr>
        <w:t>汽车制造企业等都能及时获得</w:t>
      </w:r>
      <w:r>
        <w:rPr>
          <w:rFonts w:hint="eastAsia" w:ascii="Times New Roman" w:hAnsi="Times New Roman" w:eastAsia="宋体" w:cs="Times New Roman"/>
          <w:snapToGrid/>
          <w:color w:val="auto"/>
          <w:sz w:val="24"/>
          <w:szCs w:val="28"/>
          <w:highlight w:val="none"/>
        </w:rPr>
        <w:t>本文件</w:t>
      </w:r>
      <w:r>
        <w:rPr>
          <w:rFonts w:ascii="Times New Roman" w:hAnsi="Times New Roman" w:eastAsia="宋体" w:cs="Times New Roman"/>
          <w:snapToGrid/>
          <w:color w:val="auto"/>
          <w:sz w:val="24"/>
          <w:szCs w:val="28"/>
          <w:highlight w:val="none"/>
        </w:rPr>
        <w:t>文本，这是保证新标准贯彻实施的基础。</w:t>
      </w:r>
    </w:p>
    <w:p w14:paraId="08F703F9">
      <w:pPr>
        <w:numPr>
          <w:ilvl w:val="0"/>
          <w:numId w:val="6"/>
        </w:numPr>
        <w:spacing w:line="360" w:lineRule="auto"/>
        <w:ind w:firstLine="480" w:firstLineChars="200"/>
        <w:jc w:val="both"/>
        <w:rPr>
          <w:rFonts w:ascii="Times New Roman" w:hAnsi="Times New Roman" w:eastAsia="宋体" w:cs="Times New Roman"/>
          <w:snapToGrid/>
          <w:color w:val="auto"/>
          <w:sz w:val="24"/>
          <w:szCs w:val="28"/>
          <w:highlight w:val="none"/>
        </w:rPr>
      </w:pPr>
      <w:r>
        <w:rPr>
          <w:rFonts w:ascii="Times New Roman" w:hAnsi="Times New Roman" w:eastAsia="宋体" w:cs="Times New Roman"/>
          <w:snapToGrid/>
          <w:color w:val="auto"/>
          <w:sz w:val="24"/>
          <w:szCs w:val="28"/>
          <w:highlight w:val="none"/>
        </w:rPr>
        <w:t>本次制定的《智能汽车基础地图数据</w:t>
      </w:r>
      <w:r>
        <w:rPr>
          <w:rFonts w:hint="eastAsia" w:ascii="Times New Roman" w:hAnsi="Times New Roman" w:eastAsia="宋体" w:cs="Times New Roman"/>
          <w:snapToGrid/>
          <w:color w:val="auto"/>
          <w:sz w:val="24"/>
          <w:szCs w:val="28"/>
          <w:highlight w:val="none"/>
        </w:rPr>
        <w:t>分类分级规则</w:t>
      </w:r>
      <w:r>
        <w:rPr>
          <w:rFonts w:ascii="Times New Roman" w:hAnsi="Times New Roman" w:eastAsia="宋体" w:cs="Times New Roman"/>
          <w:snapToGrid/>
          <w:color w:val="auto"/>
          <w:sz w:val="24"/>
          <w:szCs w:val="28"/>
          <w:highlight w:val="none"/>
        </w:rPr>
        <w:t>》</w:t>
      </w:r>
      <w:r>
        <w:rPr>
          <w:rFonts w:hint="eastAsia" w:ascii="Times New Roman" w:hAnsi="Times New Roman" w:eastAsia="宋体" w:cs="Times New Roman"/>
          <w:snapToGrid/>
          <w:color w:val="auto"/>
          <w:sz w:val="24"/>
          <w:szCs w:val="28"/>
          <w:highlight w:val="none"/>
          <w:lang w:val="en-US" w:eastAsia="zh-CN"/>
        </w:rPr>
        <w:t>是我国</w:t>
      </w:r>
      <w:r>
        <w:rPr>
          <w:rFonts w:ascii="Times New Roman" w:hAnsi="Times New Roman" w:eastAsia="宋体" w:cs="Times New Roman"/>
          <w:snapToGrid/>
          <w:color w:val="auto"/>
          <w:sz w:val="24"/>
          <w:szCs w:val="28"/>
          <w:highlight w:val="none"/>
        </w:rPr>
        <w:t>智能汽车</w:t>
      </w:r>
      <w:r>
        <w:rPr>
          <w:rFonts w:hint="eastAsia" w:ascii="Times New Roman" w:hAnsi="Times New Roman" w:eastAsia="宋体" w:cs="Times New Roman"/>
          <w:snapToGrid/>
          <w:color w:val="auto"/>
          <w:sz w:val="24"/>
          <w:szCs w:val="28"/>
          <w:highlight w:val="none"/>
        </w:rPr>
        <w:t>基础地图</w:t>
      </w:r>
      <w:r>
        <w:rPr>
          <w:rFonts w:hint="eastAsia" w:ascii="Times New Roman" w:hAnsi="Times New Roman" w:eastAsia="宋体" w:cs="Times New Roman"/>
          <w:snapToGrid/>
          <w:color w:val="auto"/>
          <w:sz w:val="24"/>
          <w:szCs w:val="28"/>
          <w:highlight w:val="none"/>
          <w:lang w:val="en-US" w:eastAsia="zh-CN"/>
        </w:rPr>
        <w:t>标准体系中的基础通用标准</w:t>
      </w:r>
      <w:r>
        <w:rPr>
          <w:rFonts w:hint="eastAsia" w:ascii="Times New Roman" w:hAnsi="Times New Roman" w:eastAsia="宋体" w:cs="Times New Roman"/>
          <w:snapToGrid/>
          <w:color w:val="auto"/>
          <w:sz w:val="24"/>
          <w:szCs w:val="28"/>
          <w:highlight w:val="none"/>
        </w:rPr>
        <w:t>，建议使用者参照文件中的</w:t>
      </w:r>
      <w:r>
        <w:rPr>
          <w:rFonts w:hint="eastAsia" w:ascii="Times New Roman" w:hAnsi="Times New Roman" w:eastAsia="宋体" w:cs="Times New Roman"/>
          <w:snapToGrid/>
          <w:color w:val="auto"/>
          <w:sz w:val="24"/>
          <w:szCs w:val="28"/>
          <w:highlight w:val="none"/>
          <w:lang w:val="en-US" w:eastAsia="zh-CN"/>
        </w:rPr>
        <w:t>数据分类和数据分级技术内容</w:t>
      </w:r>
      <w:r>
        <w:rPr>
          <w:rFonts w:hint="eastAsia" w:ascii="Times New Roman" w:hAnsi="Times New Roman" w:eastAsia="宋体" w:cs="Times New Roman"/>
          <w:snapToGrid/>
          <w:color w:val="auto"/>
          <w:sz w:val="24"/>
          <w:szCs w:val="28"/>
          <w:highlight w:val="none"/>
        </w:rPr>
        <w:t>，在</w:t>
      </w:r>
      <w:r>
        <w:rPr>
          <w:rFonts w:hint="eastAsia" w:ascii="Times New Roman" w:hAnsi="Times New Roman" w:eastAsia="宋体" w:cs="Times New Roman"/>
          <w:snapToGrid/>
          <w:color w:val="auto"/>
          <w:sz w:val="24"/>
          <w:szCs w:val="28"/>
          <w:highlight w:val="none"/>
          <w:lang w:val="en-US" w:eastAsia="zh-CN"/>
        </w:rPr>
        <w:t>智能汽车基础地图数据社会化应用过程中开展安全合规管理。</w:t>
      </w:r>
    </w:p>
    <w:p w14:paraId="4C6B36AC">
      <w:pPr>
        <w:numPr>
          <w:ilvl w:val="0"/>
          <w:numId w:val="6"/>
        </w:numPr>
        <w:spacing w:line="360" w:lineRule="auto"/>
        <w:ind w:firstLine="480" w:firstLineChars="200"/>
        <w:jc w:val="both"/>
        <w:rPr>
          <w:rFonts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为使本文件能被准确、一致理解，并得到实际的广泛应用，建议本文件在颁布实施后，开展相应的标准宣贯和培训工作，使标准使用单位和人员正确理解标准的技术内容和相关要求</w:t>
      </w:r>
      <w:r>
        <w:rPr>
          <w:rFonts w:hint="eastAsia" w:ascii="Times New Roman" w:hAnsi="Times New Roman" w:eastAsia="宋体" w:cs="Times New Roman"/>
          <w:snapToGrid/>
          <w:color w:val="auto"/>
          <w:sz w:val="24"/>
          <w:szCs w:val="28"/>
          <w:highlight w:val="none"/>
          <w:lang w:eastAsia="zh-CN"/>
        </w:rPr>
        <w:t>。</w:t>
      </w:r>
    </w:p>
    <w:p w14:paraId="481D44D8">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29" w:name="_Toc28792"/>
      <w:r>
        <w:rPr>
          <w:rFonts w:hint="eastAsia" w:ascii="Times New Roman" w:hAnsi="Times New Roman" w:eastAsia="宋体" w:cs="Times New Roman"/>
          <w:b/>
          <w:bCs/>
          <w:color w:val="auto"/>
          <w:sz w:val="24"/>
          <w:szCs w:val="28"/>
          <w:highlight w:val="none"/>
        </w:rPr>
        <w:t>废止现行有关标准的建议</w:t>
      </w:r>
      <w:bookmarkEnd w:id="29"/>
      <w:r>
        <w:rPr>
          <w:rFonts w:hint="eastAsia" w:ascii="Times New Roman" w:hAnsi="Times New Roman" w:eastAsia="宋体" w:cs="Times New Roman"/>
          <w:b/>
          <w:bCs/>
          <w:color w:val="auto"/>
          <w:sz w:val="24"/>
          <w:szCs w:val="28"/>
          <w:highlight w:val="none"/>
        </w:rPr>
        <w:t xml:space="preserve"> </w:t>
      </w:r>
    </w:p>
    <w:p w14:paraId="25E6DC93">
      <w:pPr>
        <w:spacing w:line="360" w:lineRule="auto"/>
        <w:ind w:firstLine="480" w:firstLineChars="200"/>
        <w:jc w:val="both"/>
        <w:rPr>
          <w:rFonts w:hint="eastAsia"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无。</w:t>
      </w:r>
    </w:p>
    <w:p w14:paraId="369D8D3B">
      <w:pPr>
        <w:spacing w:line="360" w:lineRule="auto"/>
        <w:ind w:firstLine="480" w:firstLineChars="200"/>
        <w:jc w:val="both"/>
        <w:rPr>
          <w:rFonts w:hint="eastAsia" w:ascii="Times New Roman" w:hAnsi="Times New Roman" w:eastAsia="宋体" w:cs="Times New Roman"/>
          <w:snapToGrid/>
          <w:color w:val="auto"/>
          <w:sz w:val="24"/>
          <w:szCs w:val="28"/>
          <w:highlight w:val="none"/>
        </w:rPr>
      </w:pPr>
    </w:p>
    <w:p w14:paraId="24A8BF88">
      <w:pPr>
        <w:numPr>
          <w:ilvl w:val="0"/>
          <w:numId w:val="1"/>
        </w:numPr>
        <w:spacing w:line="360" w:lineRule="auto"/>
        <w:jc w:val="both"/>
        <w:outlineLvl w:val="0"/>
        <w:rPr>
          <w:rFonts w:ascii="Times New Roman" w:hAnsi="Times New Roman" w:eastAsia="宋体" w:cs="Times New Roman"/>
          <w:b/>
          <w:bCs/>
          <w:color w:val="auto"/>
          <w:sz w:val="24"/>
          <w:szCs w:val="28"/>
          <w:highlight w:val="none"/>
        </w:rPr>
      </w:pPr>
      <w:bookmarkStart w:id="30" w:name="_Toc14318"/>
      <w:r>
        <w:rPr>
          <w:rFonts w:hint="eastAsia" w:ascii="Times New Roman" w:hAnsi="Times New Roman" w:eastAsia="宋体" w:cs="Times New Roman"/>
          <w:b/>
          <w:bCs/>
          <w:color w:val="auto"/>
          <w:sz w:val="24"/>
          <w:szCs w:val="28"/>
          <w:highlight w:val="none"/>
        </w:rPr>
        <w:t>其他应当说明的事项</w:t>
      </w:r>
      <w:bookmarkEnd w:id="30"/>
    </w:p>
    <w:p w14:paraId="4E4AE998">
      <w:pPr>
        <w:spacing w:line="360" w:lineRule="auto"/>
        <w:ind w:firstLine="480" w:firstLineChars="200"/>
        <w:jc w:val="both"/>
        <w:rPr>
          <w:rFonts w:hint="eastAsia" w:ascii="Times New Roman" w:hAnsi="Times New Roman" w:eastAsia="宋体" w:cs="Times New Roman"/>
          <w:snapToGrid/>
          <w:color w:val="auto"/>
          <w:sz w:val="24"/>
          <w:szCs w:val="28"/>
          <w:highlight w:val="none"/>
        </w:rPr>
      </w:pPr>
      <w:r>
        <w:rPr>
          <w:rFonts w:hint="eastAsia" w:ascii="Times New Roman" w:hAnsi="Times New Roman" w:eastAsia="宋体" w:cs="Times New Roman"/>
          <w:snapToGrid/>
          <w:color w:val="auto"/>
          <w:sz w:val="24"/>
          <w:szCs w:val="28"/>
          <w:highlight w:val="none"/>
        </w:rPr>
        <w:t>本标准的发布实施，规范智能汽车基础地图数据的分类分级管理流程，化解技术层面、应用层面以及管理层面所产生的矛盾分歧，同时消除潜在的地理信息安全风险隐患，为智能汽车基础地图技术产业发展提供基础保障。此外，作为我国智能汽车基础地图标准体系中“基础通用部分”的重要技术标准，本文件为自然资源主管部门</w:t>
      </w:r>
      <w:r>
        <w:rPr>
          <w:rFonts w:hint="eastAsia" w:ascii="Times New Roman" w:hAnsi="Times New Roman" w:eastAsia="宋体" w:cs="Times New Roman"/>
          <w:snapToGrid/>
          <w:color w:val="auto"/>
          <w:sz w:val="24"/>
          <w:szCs w:val="28"/>
          <w:highlight w:val="none"/>
          <w:lang w:val="en-US" w:eastAsia="zh-CN"/>
        </w:rPr>
        <w:t>开展行业监管工作</w:t>
      </w:r>
      <w:r>
        <w:rPr>
          <w:rFonts w:hint="eastAsia" w:ascii="Times New Roman" w:hAnsi="Times New Roman" w:eastAsia="宋体" w:cs="Times New Roman"/>
          <w:snapToGrid/>
          <w:color w:val="auto"/>
          <w:sz w:val="24"/>
          <w:szCs w:val="28"/>
          <w:highlight w:val="none"/>
        </w:rPr>
        <w:t>提供技术依据，</w:t>
      </w:r>
      <w:r>
        <w:rPr>
          <w:rFonts w:hint="eastAsia" w:ascii="Times New Roman" w:hAnsi="Times New Roman" w:eastAsia="宋体" w:cs="Times New Roman"/>
          <w:snapToGrid/>
          <w:color w:val="auto"/>
          <w:sz w:val="24"/>
          <w:szCs w:val="28"/>
          <w:highlight w:val="none"/>
          <w:lang w:val="en-US" w:eastAsia="zh-CN"/>
        </w:rPr>
        <w:t>并</w:t>
      </w:r>
      <w:r>
        <w:rPr>
          <w:rFonts w:hint="eastAsia" w:ascii="Times New Roman" w:hAnsi="Times New Roman" w:eastAsia="宋体" w:cs="Times New Roman"/>
          <w:snapToGrid/>
          <w:color w:val="auto"/>
          <w:sz w:val="24"/>
          <w:szCs w:val="28"/>
          <w:highlight w:val="none"/>
        </w:rPr>
        <w:t>为其他相关领域信息分类分级标准的制定提供参考范例，促进跨领域标准间的协同联动。</w:t>
      </w:r>
    </w:p>
    <w:bookmarkEnd w:id="31"/>
    <w:sectPr>
      <w:footerReference r:id="rId4" w:type="default"/>
      <w:pgSz w:w="11907" w:h="16839"/>
      <w:pgMar w:top="1440" w:right="1800" w:bottom="1440" w:left="1800" w:header="0" w:footer="1020" w:gutter="0"/>
      <w:pgNumType w:start="1"/>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Narrow">
    <w:altName w:val="Arial"/>
    <w:panose1 w:val="020B0606020202030204"/>
    <w:charset w:val="00"/>
    <w:family w:val="swiss"/>
    <w:pitch w:val="default"/>
    <w:sig w:usb0="00000000" w:usb1="00000000" w:usb2="00000000" w:usb3="00000000" w:csb0="2000009F" w:csb1="DFD70000"/>
  </w:font>
  <w:font w:name="方正小标宋_GBK">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GulimChe">
    <w:panose1 w:val="020B0609000101010101"/>
    <w:charset w:val="81"/>
    <w:family w:val="auto"/>
    <w:pitch w:val="default"/>
    <w:sig w:usb0="B00002AF" w:usb1="69D77CFB" w:usb2="00000030" w:usb3="00000000" w:csb0="4008009F" w:csb1="DFD70000"/>
  </w:font>
  <w:font w:name="Kingsoft UE">
    <w:altName w:val="ESRI AMFM Electric"/>
    <w:panose1 w:val="00000000000000000000"/>
    <w:charset w:val="00"/>
    <w:family w:val="auto"/>
    <w:pitch w:val="default"/>
    <w:sig w:usb0="00000000" w:usb1="00000000" w:usb2="00000000" w:usb3="00000000" w:csb0="00000000" w:csb1="00000000"/>
  </w:font>
  <w:font w:name="ESRI AMFM Electric">
    <w:panose1 w:val="02000400000000000000"/>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3C01F3">
    <w:pPr>
      <w:spacing w:line="14" w:lineRule="auto"/>
      <w:rPr>
        <w:rFonts w:ascii="宋体"/>
        <w:sz w:val="2"/>
      </w:rPr>
    </w:pPr>
    <w:r>
      <w:rPr>
        <w:sz w:val="2"/>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69BFE6C">
                          <w:pPr>
                            <w:pStyle w:val="9"/>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669BFE6C">
                    <w:pPr>
                      <w:pStyle w:val="9"/>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921A76">
    <w:pPr>
      <w:spacing w:line="14" w:lineRule="auto"/>
      <w:rPr>
        <w:rFonts w:ascii="宋体"/>
        <w:sz w:val="2"/>
      </w:rPr>
    </w:pPr>
    <w:r>
      <w:rPr>
        <w:sz w:val="2"/>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32E63D8">
                          <w:pPr>
                            <w:pStyle w:val="9"/>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032E63D8">
                    <w:pPr>
                      <w:pStyle w:val="9"/>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1</w:t>
                    </w:r>
                    <w:r>
                      <w:rPr>
                        <w:rFonts w:ascii="Times New Roman" w:hAnsi="Times New Roman" w:cs="Times New Roma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996E4A3"/>
    <w:multiLevelType w:val="singleLevel"/>
    <w:tmpl w:val="F996E4A3"/>
    <w:lvl w:ilvl="0" w:tentative="0">
      <w:start w:val="1"/>
      <w:numFmt w:val="decimal"/>
      <w:lvlText w:val="%1."/>
      <w:lvlJc w:val="left"/>
      <w:pPr>
        <w:ind w:left="420" w:hanging="420"/>
      </w:pPr>
      <w:rPr>
        <w:rFonts w:hint="default"/>
        <w:sz w:val="24"/>
        <w:szCs w:val="24"/>
      </w:rPr>
    </w:lvl>
  </w:abstractNum>
  <w:abstractNum w:abstractNumId="1">
    <w:nsid w:val="012946FE"/>
    <w:multiLevelType w:val="singleLevel"/>
    <w:tmpl w:val="012946FE"/>
    <w:lvl w:ilvl="0" w:tentative="0">
      <w:start w:val="1"/>
      <w:numFmt w:val="decimal"/>
      <w:suff w:val="nothing"/>
      <w:lvlText w:val="%1）"/>
      <w:lvlJc w:val="left"/>
    </w:lvl>
  </w:abstractNum>
  <w:abstractNum w:abstractNumId="2">
    <w:nsid w:val="097C0B35"/>
    <w:multiLevelType w:val="singleLevel"/>
    <w:tmpl w:val="097C0B35"/>
    <w:lvl w:ilvl="0" w:tentative="0">
      <w:start w:val="1"/>
      <w:numFmt w:val="decimal"/>
      <w:suff w:val="nothing"/>
      <w:lvlText w:val="%1）"/>
      <w:lvlJc w:val="left"/>
      <w:rPr>
        <w:rFonts w:hint="default" w:ascii="Times New Roman" w:hAnsi="Times New Roman" w:cs="Times New Roman"/>
        <w:sz w:val="24"/>
        <w:szCs w:val="24"/>
      </w:rPr>
    </w:lvl>
  </w:abstractNum>
  <w:abstractNum w:abstractNumId="3">
    <w:nsid w:val="20E09879"/>
    <w:multiLevelType w:val="singleLevel"/>
    <w:tmpl w:val="20E09879"/>
    <w:lvl w:ilvl="0" w:tentative="0">
      <w:start w:val="1"/>
      <w:numFmt w:val="decimal"/>
      <w:lvlText w:val="%1."/>
      <w:lvlJc w:val="left"/>
      <w:pPr>
        <w:ind w:left="420" w:hanging="420"/>
      </w:pPr>
      <w:rPr>
        <w:rFonts w:hint="eastAsia"/>
      </w:rPr>
    </w:lvl>
  </w:abstractNum>
  <w:abstractNum w:abstractNumId="4">
    <w:nsid w:val="43412D43"/>
    <w:multiLevelType w:val="singleLevel"/>
    <w:tmpl w:val="43412D43"/>
    <w:lvl w:ilvl="0" w:tentative="0">
      <w:start w:val="1"/>
      <w:numFmt w:val="chineseCounting"/>
      <w:suff w:val="nothing"/>
      <w:lvlText w:val="%1、"/>
      <w:lvlJc w:val="left"/>
      <w:rPr>
        <w:rFonts w:hint="eastAsia"/>
      </w:rPr>
    </w:lvl>
  </w:abstractNum>
  <w:abstractNum w:abstractNumId="5">
    <w:nsid w:val="5120DCA7"/>
    <w:multiLevelType w:val="singleLevel"/>
    <w:tmpl w:val="5120DCA7"/>
    <w:lvl w:ilvl="0" w:tentative="0">
      <w:start w:val="1"/>
      <w:numFmt w:val="decimal"/>
      <w:suff w:val="space"/>
      <w:lvlText w:val="%1."/>
      <w:lvlJc w:val="left"/>
    </w:lvl>
  </w:abstractNum>
  <w:num w:numId="1">
    <w:abstractNumId w:val="4"/>
  </w:num>
  <w:num w:numId="2">
    <w:abstractNumId w:val="3"/>
  </w:num>
  <w:num w:numId="3">
    <w:abstractNumId w:val="0"/>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spaceForUL/>
    <w:ulTrailSpace/>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WEwMDcyYmZiMDVhMTliOThhODMxZWU5YzU1YjZjYjAifQ=="/>
  </w:docVars>
  <w:rsids>
    <w:rsidRoot w:val="00172A27"/>
    <w:rsid w:val="000020FE"/>
    <w:rsid w:val="00006F42"/>
    <w:rsid w:val="00007104"/>
    <w:rsid w:val="00007BB5"/>
    <w:rsid w:val="0001085E"/>
    <w:rsid w:val="0001322E"/>
    <w:rsid w:val="000262A4"/>
    <w:rsid w:val="000303FA"/>
    <w:rsid w:val="00042FD0"/>
    <w:rsid w:val="00043B0A"/>
    <w:rsid w:val="00044245"/>
    <w:rsid w:val="00057884"/>
    <w:rsid w:val="00063B96"/>
    <w:rsid w:val="00071D50"/>
    <w:rsid w:val="000756B4"/>
    <w:rsid w:val="00077E66"/>
    <w:rsid w:val="00080039"/>
    <w:rsid w:val="00085469"/>
    <w:rsid w:val="000854D3"/>
    <w:rsid w:val="00087258"/>
    <w:rsid w:val="000918EC"/>
    <w:rsid w:val="0009481D"/>
    <w:rsid w:val="00094F45"/>
    <w:rsid w:val="00096F30"/>
    <w:rsid w:val="000A1C79"/>
    <w:rsid w:val="000A2AAF"/>
    <w:rsid w:val="000B38A5"/>
    <w:rsid w:val="000B390B"/>
    <w:rsid w:val="000B3AA8"/>
    <w:rsid w:val="000B7A9A"/>
    <w:rsid w:val="000C4A89"/>
    <w:rsid w:val="000C6D74"/>
    <w:rsid w:val="000D1E71"/>
    <w:rsid w:val="000D3FEA"/>
    <w:rsid w:val="000D47FC"/>
    <w:rsid w:val="000D546D"/>
    <w:rsid w:val="000D5A36"/>
    <w:rsid w:val="000F2A60"/>
    <w:rsid w:val="000F5CA6"/>
    <w:rsid w:val="000F5E83"/>
    <w:rsid w:val="000F7069"/>
    <w:rsid w:val="001020DE"/>
    <w:rsid w:val="00103897"/>
    <w:rsid w:val="0011443C"/>
    <w:rsid w:val="0011457E"/>
    <w:rsid w:val="001159D6"/>
    <w:rsid w:val="00120C44"/>
    <w:rsid w:val="00127D7C"/>
    <w:rsid w:val="001319AC"/>
    <w:rsid w:val="00133810"/>
    <w:rsid w:val="00136AAF"/>
    <w:rsid w:val="00137AF9"/>
    <w:rsid w:val="00163E82"/>
    <w:rsid w:val="00165D92"/>
    <w:rsid w:val="001702AC"/>
    <w:rsid w:val="00171A76"/>
    <w:rsid w:val="001728F2"/>
    <w:rsid w:val="00172A27"/>
    <w:rsid w:val="001810D9"/>
    <w:rsid w:val="00187DAB"/>
    <w:rsid w:val="00191B9D"/>
    <w:rsid w:val="00192ECD"/>
    <w:rsid w:val="00193164"/>
    <w:rsid w:val="00195AC6"/>
    <w:rsid w:val="0019600A"/>
    <w:rsid w:val="001A22BC"/>
    <w:rsid w:val="001A4EBE"/>
    <w:rsid w:val="001B0488"/>
    <w:rsid w:val="001B45B4"/>
    <w:rsid w:val="001B52BC"/>
    <w:rsid w:val="001B7776"/>
    <w:rsid w:val="001C16F2"/>
    <w:rsid w:val="001C2CE3"/>
    <w:rsid w:val="001C2E2E"/>
    <w:rsid w:val="001C4F3D"/>
    <w:rsid w:val="001D22D8"/>
    <w:rsid w:val="001D53F7"/>
    <w:rsid w:val="001D5FB4"/>
    <w:rsid w:val="001D7329"/>
    <w:rsid w:val="001E229B"/>
    <w:rsid w:val="001F2007"/>
    <w:rsid w:val="001F3F3D"/>
    <w:rsid w:val="0022011F"/>
    <w:rsid w:val="002240C9"/>
    <w:rsid w:val="0023008F"/>
    <w:rsid w:val="00235E5A"/>
    <w:rsid w:val="00244FE5"/>
    <w:rsid w:val="00247063"/>
    <w:rsid w:val="0024715F"/>
    <w:rsid w:val="0025070E"/>
    <w:rsid w:val="0025300D"/>
    <w:rsid w:val="002539E2"/>
    <w:rsid w:val="0025478A"/>
    <w:rsid w:val="002609DB"/>
    <w:rsid w:val="002643F0"/>
    <w:rsid w:val="00264781"/>
    <w:rsid w:val="00270046"/>
    <w:rsid w:val="00272298"/>
    <w:rsid w:val="00290773"/>
    <w:rsid w:val="00292CEE"/>
    <w:rsid w:val="00293970"/>
    <w:rsid w:val="00295F0B"/>
    <w:rsid w:val="002A12B5"/>
    <w:rsid w:val="002A3734"/>
    <w:rsid w:val="002B2906"/>
    <w:rsid w:val="002C14B1"/>
    <w:rsid w:val="002C23FA"/>
    <w:rsid w:val="002C5B89"/>
    <w:rsid w:val="002C60C7"/>
    <w:rsid w:val="002C61F7"/>
    <w:rsid w:val="002D039E"/>
    <w:rsid w:val="002D336F"/>
    <w:rsid w:val="002E358F"/>
    <w:rsid w:val="002E4908"/>
    <w:rsid w:val="002E61C6"/>
    <w:rsid w:val="002F7314"/>
    <w:rsid w:val="00303736"/>
    <w:rsid w:val="0030440E"/>
    <w:rsid w:val="00305BB5"/>
    <w:rsid w:val="00305DBC"/>
    <w:rsid w:val="0031380D"/>
    <w:rsid w:val="003166C4"/>
    <w:rsid w:val="003268C7"/>
    <w:rsid w:val="003320FF"/>
    <w:rsid w:val="00332B47"/>
    <w:rsid w:val="00337DB0"/>
    <w:rsid w:val="0034348D"/>
    <w:rsid w:val="00345EB8"/>
    <w:rsid w:val="00351535"/>
    <w:rsid w:val="003557F3"/>
    <w:rsid w:val="00360F73"/>
    <w:rsid w:val="003611C7"/>
    <w:rsid w:val="0037185A"/>
    <w:rsid w:val="003723ED"/>
    <w:rsid w:val="00372A5F"/>
    <w:rsid w:val="0037492A"/>
    <w:rsid w:val="00374E60"/>
    <w:rsid w:val="003765D2"/>
    <w:rsid w:val="003804F7"/>
    <w:rsid w:val="00384799"/>
    <w:rsid w:val="00386300"/>
    <w:rsid w:val="003907DF"/>
    <w:rsid w:val="003A0470"/>
    <w:rsid w:val="003C7089"/>
    <w:rsid w:val="003D02D6"/>
    <w:rsid w:val="003D5F3E"/>
    <w:rsid w:val="003E0ABF"/>
    <w:rsid w:val="003E4C3D"/>
    <w:rsid w:val="003E678C"/>
    <w:rsid w:val="003F1C5F"/>
    <w:rsid w:val="003F4528"/>
    <w:rsid w:val="003F7B72"/>
    <w:rsid w:val="0041439E"/>
    <w:rsid w:val="0042235A"/>
    <w:rsid w:val="004252C5"/>
    <w:rsid w:val="00431C95"/>
    <w:rsid w:val="004336CC"/>
    <w:rsid w:val="00434B18"/>
    <w:rsid w:val="00440AA2"/>
    <w:rsid w:val="00441A63"/>
    <w:rsid w:val="004559B2"/>
    <w:rsid w:val="00456ACC"/>
    <w:rsid w:val="00465D49"/>
    <w:rsid w:val="0048305A"/>
    <w:rsid w:val="004853D9"/>
    <w:rsid w:val="004960FB"/>
    <w:rsid w:val="00497230"/>
    <w:rsid w:val="004A75B7"/>
    <w:rsid w:val="004B406A"/>
    <w:rsid w:val="004B48CF"/>
    <w:rsid w:val="004B549C"/>
    <w:rsid w:val="004B6A46"/>
    <w:rsid w:val="004B7766"/>
    <w:rsid w:val="004C058C"/>
    <w:rsid w:val="004C5624"/>
    <w:rsid w:val="004C5678"/>
    <w:rsid w:val="004C6D0C"/>
    <w:rsid w:val="004D330F"/>
    <w:rsid w:val="004D6BC6"/>
    <w:rsid w:val="004E3918"/>
    <w:rsid w:val="004E673B"/>
    <w:rsid w:val="004F5A5C"/>
    <w:rsid w:val="00502DD1"/>
    <w:rsid w:val="0052643A"/>
    <w:rsid w:val="0052728B"/>
    <w:rsid w:val="00527AB2"/>
    <w:rsid w:val="005319D6"/>
    <w:rsid w:val="0053792B"/>
    <w:rsid w:val="005439F5"/>
    <w:rsid w:val="00545F64"/>
    <w:rsid w:val="00553E65"/>
    <w:rsid w:val="00567561"/>
    <w:rsid w:val="005709B3"/>
    <w:rsid w:val="00571C7E"/>
    <w:rsid w:val="00574DC5"/>
    <w:rsid w:val="005848F3"/>
    <w:rsid w:val="00587BB4"/>
    <w:rsid w:val="00593F72"/>
    <w:rsid w:val="005971A0"/>
    <w:rsid w:val="005A5547"/>
    <w:rsid w:val="005A69D0"/>
    <w:rsid w:val="005A6AC7"/>
    <w:rsid w:val="005B7A5B"/>
    <w:rsid w:val="005B7DAC"/>
    <w:rsid w:val="005D2A50"/>
    <w:rsid w:val="005D3F2A"/>
    <w:rsid w:val="005E0337"/>
    <w:rsid w:val="005F11EA"/>
    <w:rsid w:val="005F1A78"/>
    <w:rsid w:val="005F695B"/>
    <w:rsid w:val="006028EA"/>
    <w:rsid w:val="00606874"/>
    <w:rsid w:val="00607ABF"/>
    <w:rsid w:val="006149D9"/>
    <w:rsid w:val="006228B1"/>
    <w:rsid w:val="006332E9"/>
    <w:rsid w:val="006339BD"/>
    <w:rsid w:val="006360BD"/>
    <w:rsid w:val="0063731F"/>
    <w:rsid w:val="00642119"/>
    <w:rsid w:val="006546B6"/>
    <w:rsid w:val="00655C10"/>
    <w:rsid w:val="00671C07"/>
    <w:rsid w:val="00676090"/>
    <w:rsid w:val="00680C51"/>
    <w:rsid w:val="00684B8F"/>
    <w:rsid w:val="00687012"/>
    <w:rsid w:val="00691B6C"/>
    <w:rsid w:val="006932EA"/>
    <w:rsid w:val="00694D43"/>
    <w:rsid w:val="006957B1"/>
    <w:rsid w:val="006A3A5B"/>
    <w:rsid w:val="006A42E3"/>
    <w:rsid w:val="006A63C0"/>
    <w:rsid w:val="006B57CD"/>
    <w:rsid w:val="006C36D7"/>
    <w:rsid w:val="006D5CE4"/>
    <w:rsid w:val="006E6F64"/>
    <w:rsid w:val="006F53D9"/>
    <w:rsid w:val="006F75DC"/>
    <w:rsid w:val="007016DB"/>
    <w:rsid w:val="0070458B"/>
    <w:rsid w:val="00706DAB"/>
    <w:rsid w:val="007105E6"/>
    <w:rsid w:val="007154D6"/>
    <w:rsid w:val="00724A53"/>
    <w:rsid w:val="007341FF"/>
    <w:rsid w:val="00736400"/>
    <w:rsid w:val="007410A1"/>
    <w:rsid w:val="00741C98"/>
    <w:rsid w:val="00742CB2"/>
    <w:rsid w:val="00744E6C"/>
    <w:rsid w:val="007465C9"/>
    <w:rsid w:val="007525FD"/>
    <w:rsid w:val="0075510C"/>
    <w:rsid w:val="0076425A"/>
    <w:rsid w:val="007643E3"/>
    <w:rsid w:val="007748B0"/>
    <w:rsid w:val="00782B42"/>
    <w:rsid w:val="0079322B"/>
    <w:rsid w:val="007A069B"/>
    <w:rsid w:val="007A0786"/>
    <w:rsid w:val="007A4DA5"/>
    <w:rsid w:val="007A5126"/>
    <w:rsid w:val="007B12F6"/>
    <w:rsid w:val="007B7DD4"/>
    <w:rsid w:val="007D104C"/>
    <w:rsid w:val="007D2407"/>
    <w:rsid w:val="007D3B0A"/>
    <w:rsid w:val="007D71D3"/>
    <w:rsid w:val="007D7D26"/>
    <w:rsid w:val="007D7F00"/>
    <w:rsid w:val="007F06CB"/>
    <w:rsid w:val="007F1989"/>
    <w:rsid w:val="00801745"/>
    <w:rsid w:val="00801B74"/>
    <w:rsid w:val="00803605"/>
    <w:rsid w:val="008039E7"/>
    <w:rsid w:val="00804E8C"/>
    <w:rsid w:val="008057F3"/>
    <w:rsid w:val="0080654C"/>
    <w:rsid w:val="00812058"/>
    <w:rsid w:val="008261A1"/>
    <w:rsid w:val="008379E2"/>
    <w:rsid w:val="008422E9"/>
    <w:rsid w:val="00845047"/>
    <w:rsid w:val="0085430E"/>
    <w:rsid w:val="00857318"/>
    <w:rsid w:val="00862F5D"/>
    <w:rsid w:val="00880605"/>
    <w:rsid w:val="00880EEC"/>
    <w:rsid w:val="0088229B"/>
    <w:rsid w:val="008824BA"/>
    <w:rsid w:val="00885BAB"/>
    <w:rsid w:val="00894B6E"/>
    <w:rsid w:val="008A418F"/>
    <w:rsid w:val="008B6499"/>
    <w:rsid w:val="008C092E"/>
    <w:rsid w:val="008D2D77"/>
    <w:rsid w:val="008E2A0E"/>
    <w:rsid w:val="008E2FB1"/>
    <w:rsid w:val="008E3070"/>
    <w:rsid w:val="008F5C0C"/>
    <w:rsid w:val="00900189"/>
    <w:rsid w:val="00930805"/>
    <w:rsid w:val="00932EB8"/>
    <w:rsid w:val="00941BE4"/>
    <w:rsid w:val="00945289"/>
    <w:rsid w:val="009465C3"/>
    <w:rsid w:val="0094672E"/>
    <w:rsid w:val="00946738"/>
    <w:rsid w:val="00953872"/>
    <w:rsid w:val="00961D02"/>
    <w:rsid w:val="00963A49"/>
    <w:rsid w:val="009641CC"/>
    <w:rsid w:val="00971ADF"/>
    <w:rsid w:val="00975B9D"/>
    <w:rsid w:val="00981485"/>
    <w:rsid w:val="009922C3"/>
    <w:rsid w:val="00992BDF"/>
    <w:rsid w:val="0099392A"/>
    <w:rsid w:val="009948A1"/>
    <w:rsid w:val="0099623C"/>
    <w:rsid w:val="00996CF5"/>
    <w:rsid w:val="009A5C77"/>
    <w:rsid w:val="009A6532"/>
    <w:rsid w:val="009B13AB"/>
    <w:rsid w:val="009B1FFA"/>
    <w:rsid w:val="009B212A"/>
    <w:rsid w:val="009C512B"/>
    <w:rsid w:val="009C5C6C"/>
    <w:rsid w:val="009C7843"/>
    <w:rsid w:val="009D0D7D"/>
    <w:rsid w:val="009D2F3A"/>
    <w:rsid w:val="009D48FF"/>
    <w:rsid w:val="009D54EB"/>
    <w:rsid w:val="009D66FF"/>
    <w:rsid w:val="009E3CE0"/>
    <w:rsid w:val="009F7850"/>
    <w:rsid w:val="00A052D1"/>
    <w:rsid w:val="00A1078A"/>
    <w:rsid w:val="00A135A5"/>
    <w:rsid w:val="00A217E6"/>
    <w:rsid w:val="00A244DC"/>
    <w:rsid w:val="00A27266"/>
    <w:rsid w:val="00A27E89"/>
    <w:rsid w:val="00A30D76"/>
    <w:rsid w:val="00A40483"/>
    <w:rsid w:val="00A526EE"/>
    <w:rsid w:val="00A61DC6"/>
    <w:rsid w:val="00A64D6C"/>
    <w:rsid w:val="00A6509B"/>
    <w:rsid w:val="00A7689B"/>
    <w:rsid w:val="00A82413"/>
    <w:rsid w:val="00A830F8"/>
    <w:rsid w:val="00A87D4B"/>
    <w:rsid w:val="00A9072E"/>
    <w:rsid w:val="00A91705"/>
    <w:rsid w:val="00A91B81"/>
    <w:rsid w:val="00AA255F"/>
    <w:rsid w:val="00AA5092"/>
    <w:rsid w:val="00AA59CC"/>
    <w:rsid w:val="00AA6A3F"/>
    <w:rsid w:val="00AB6650"/>
    <w:rsid w:val="00AB7E8F"/>
    <w:rsid w:val="00AC50A9"/>
    <w:rsid w:val="00AD30EA"/>
    <w:rsid w:val="00AD3413"/>
    <w:rsid w:val="00AD7538"/>
    <w:rsid w:val="00AE2CAD"/>
    <w:rsid w:val="00AE515B"/>
    <w:rsid w:val="00AF2ADC"/>
    <w:rsid w:val="00AF4F19"/>
    <w:rsid w:val="00B00E52"/>
    <w:rsid w:val="00B04096"/>
    <w:rsid w:val="00B0541E"/>
    <w:rsid w:val="00B12D62"/>
    <w:rsid w:val="00B1399F"/>
    <w:rsid w:val="00B14B9D"/>
    <w:rsid w:val="00B15E2F"/>
    <w:rsid w:val="00B2027F"/>
    <w:rsid w:val="00B2145A"/>
    <w:rsid w:val="00B2494E"/>
    <w:rsid w:val="00B25583"/>
    <w:rsid w:val="00B27D43"/>
    <w:rsid w:val="00B3397D"/>
    <w:rsid w:val="00B34037"/>
    <w:rsid w:val="00B36171"/>
    <w:rsid w:val="00B418BF"/>
    <w:rsid w:val="00B4623D"/>
    <w:rsid w:val="00B52690"/>
    <w:rsid w:val="00B6063A"/>
    <w:rsid w:val="00B71F65"/>
    <w:rsid w:val="00B72080"/>
    <w:rsid w:val="00B721D4"/>
    <w:rsid w:val="00B879D4"/>
    <w:rsid w:val="00B9253B"/>
    <w:rsid w:val="00B93BCC"/>
    <w:rsid w:val="00BA05AE"/>
    <w:rsid w:val="00BA1D78"/>
    <w:rsid w:val="00BA4A55"/>
    <w:rsid w:val="00BB2894"/>
    <w:rsid w:val="00BB5AD7"/>
    <w:rsid w:val="00BC569D"/>
    <w:rsid w:val="00BC7D3F"/>
    <w:rsid w:val="00BE29FA"/>
    <w:rsid w:val="00BE32F3"/>
    <w:rsid w:val="00BE3B52"/>
    <w:rsid w:val="00BF272D"/>
    <w:rsid w:val="00BF5B65"/>
    <w:rsid w:val="00BF6E4D"/>
    <w:rsid w:val="00C07D21"/>
    <w:rsid w:val="00C20D15"/>
    <w:rsid w:val="00C21CFF"/>
    <w:rsid w:val="00C22ACC"/>
    <w:rsid w:val="00C22CFA"/>
    <w:rsid w:val="00C302ED"/>
    <w:rsid w:val="00C33A7B"/>
    <w:rsid w:val="00C35192"/>
    <w:rsid w:val="00C40FD3"/>
    <w:rsid w:val="00C45907"/>
    <w:rsid w:val="00C46DE6"/>
    <w:rsid w:val="00C553D2"/>
    <w:rsid w:val="00C624ED"/>
    <w:rsid w:val="00C646A3"/>
    <w:rsid w:val="00C64857"/>
    <w:rsid w:val="00C70550"/>
    <w:rsid w:val="00C721FD"/>
    <w:rsid w:val="00C74DA8"/>
    <w:rsid w:val="00C77A7A"/>
    <w:rsid w:val="00CA27F2"/>
    <w:rsid w:val="00CA691F"/>
    <w:rsid w:val="00CA77D5"/>
    <w:rsid w:val="00CA7EDC"/>
    <w:rsid w:val="00CC1506"/>
    <w:rsid w:val="00CC2151"/>
    <w:rsid w:val="00CC5B97"/>
    <w:rsid w:val="00CC7DB3"/>
    <w:rsid w:val="00CD1599"/>
    <w:rsid w:val="00CD6695"/>
    <w:rsid w:val="00CE2473"/>
    <w:rsid w:val="00CE37D6"/>
    <w:rsid w:val="00CE5BAA"/>
    <w:rsid w:val="00CF0EB5"/>
    <w:rsid w:val="00CF1882"/>
    <w:rsid w:val="00CF3CC7"/>
    <w:rsid w:val="00CF5521"/>
    <w:rsid w:val="00D03697"/>
    <w:rsid w:val="00D03B88"/>
    <w:rsid w:val="00D20A09"/>
    <w:rsid w:val="00D31C0C"/>
    <w:rsid w:val="00D323E3"/>
    <w:rsid w:val="00D33F39"/>
    <w:rsid w:val="00D34BDE"/>
    <w:rsid w:val="00D40712"/>
    <w:rsid w:val="00D40D69"/>
    <w:rsid w:val="00D41255"/>
    <w:rsid w:val="00D4271A"/>
    <w:rsid w:val="00D43590"/>
    <w:rsid w:val="00D46248"/>
    <w:rsid w:val="00D57C1A"/>
    <w:rsid w:val="00D61424"/>
    <w:rsid w:val="00D62B98"/>
    <w:rsid w:val="00D82080"/>
    <w:rsid w:val="00D8490B"/>
    <w:rsid w:val="00D84FF2"/>
    <w:rsid w:val="00D906D6"/>
    <w:rsid w:val="00D90E89"/>
    <w:rsid w:val="00D91E42"/>
    <w:rsid w:val="00DA0DE7"/>
    <w:rsid w:val="00DB57E2"/>
    <w:rsid w:val="00DC2F41"/>
    <w:rsid w:val="00DD0809"/>
    <w:rsid w:val="00DD0DAD"/>
    <w:rsid w:val="00DD6E9A"/>
    <w:rsid w:val="00DE36B1"/>
    <w:rsid w:val="00DE761B"/>
    <w:rsid w:val="00DE78E7"/>
    <w:rsid w:val="00DF1226"/>
    <w:rsid w:val="00E028CC"/>
    <w:rsid w:val="00E04F8B"/>
    <w:rsid w:val="00E1255A"/>
    <w:rsid w:val="00E17416"/>
    <w:rsid w:val="00E21081"/>
    <w:rsid w:val="00E22D6A"/>
    <w:rsid w:val="00E26E21"/>
    <w:rsid w:val="00E2701B"/>
    <w:rsid w:val="00E43C72"/>
    <w:rsid w:val="00E52A1A"/>
    <w:rsid w:val="00E55547"/>
    <w:rsid w:val="00E63B3A"/>
    <w:rsid w:val="00E66007"/>
    <w:rsid w:val="00E6720A"/>
    <w:rsid w:val="00E8002B"/>
    <w:rsid w:val="00E816C0"/>
    <w:rsid w:val="00E8447C"/>
    <w:rsid w:val="00E903AF"/>
    <w:rsid w:val="00E912A6"/>
    <w:rsid w:val="00E93674"/>
    <w:rsid w:val="00E95784"/>
    <w:rsid w:val="00E96631"/>
    <w:rsid w:val="00EA0551"/>
    <w:rsid w:val="00EA086A"/>
    <w:rsid w:val="00EA1E06"/>
    <w:rsid w:val="00EA26FE"/>
    <w:rsid w:val="00EA5FCB"/>
    <w:rsid w:val="00EA7A2C"/>
    <w:rsid w:val="00EB1463"/>
    <w:rsid w:val="00EB446A"/>
    <w:rsid w:val="00EB4C36"/>
    <w:rsid w:val="00EB6CF0"/>
    <w:rsid w:val="00EB769F"/>
    <w:rsid w:val="00EC09DA"/>
    <w:rsid w:val="00EC58A0"/>
    <w:rsid w:val="00EC6894"/>
    <w:rsid w:val="00ED45A8"/>
    <w:rsid w:val="00EE59A5"/>
    <w:rsid w:val="00EF02D2"/>
    <w:rsid w:val="00EF282E"/>
    <w:rsid w:val="00EF2B53"/>
    <w:rsid w:val="00EF67D5"/>
    <w:rsid w:val="00F05EB3"/>
    <w:rsid w:val="00F169F2"/>
    <w:rsid w:val="00F17E6A"/>
    <w:rsid w:val="00F21548"/>
    <w:rsid w:val="00F22CA1"/>
    <w:rsid w:val="00F24548"/>
    <w:rsid w:val="00F3157C"/>
    <w:rsid w:val="00F50CDF"/>
    <w:rsid w:val="00F5141F"/>
    <w:rsid w:val="00F561CD"/>
    <w:rsid w:val="00F61FFC"/>
    <w:rsid w:val="00F6259E"/>
    <w:rsid w:val="00F70F93"/>
    <w:rsid w:val="00F710B4"/>
    <w:rsid w:val="00F76A76"/>
    <w:rsid w:val="00F90A68"/>
    <w:rsid w:val="00F95D43"/>
    <w:rsid w:val="00F962CD"/>
    <w:rsid w:val="00FB24AA"/>
    <w:rsid w:val="00FB5BD8"/>
    <w:rsid w:val="00FB5DC6"/>
    <w:rsid w:val="00FC122B"/>
    <w:rsid w:val="00FC4BD7"/>
    <w:rsid w:val="00FD21C2"/>
    <w:rsid w:val="00FD6A99"/>
    <w:rsid w:val="00FD7762"/>
    <w:rsid w:val="00FE2529"/>
    <w:rsid w:val="00FE3DDC"/>
    <w:rsid w:val="00FE57BC"/>
    <w:rsid w:val="00FE653D"/>
    <w:rsid w:val="00FF4BC9"/>
    <w:rsid w:val="00FF576E"/>
    <w:rsid w:val="00FF58C7"/>
    <w:rsid w:val="01055DCC"/>
    <w:rsid w:val="010B2AF9"/>
    <w:rsid w:val="01154E42"/>
    <w:rsid w:val="01160EA3"/>
    <w:rsid w:val="01203FAE"/>
    <w:rsid w:val="01260F37"/>
    <w:rsid w:val="012D2227"/>
    <w:rsid w:val="01311D17"/>
    <w:rsid w:val="014F219D"/>
    <w:rsid w:val="01536131"/>
    <w:rsid w:val="015E4AD6"/>
    <w:rsid w:val="016248D9"/>
    <w:rsid w:val="0167398B"/>
    <w:rsid w:val="019F7B14"/>
    <w:rsid w:val="01A33B47"/>
    <w:rsid w:val="01AF5332"/>
    <w:rsid w:val="01B0765C"/>
    <w:rsid w:val="01BD35AB"/>
    <w:rsid w:val="01CD7566"/>
    <w:rsid w:val="01D34B7C"/>
    <w:rsid w:val="01DD1F1D"/>
    <w:rsid w:val="01FB40D3"/>
    <w:rsid w:val="020C008E"/>
    <w:rsid w:val="02181361"/>
    <w:rsid w:val="021F7DC1"/>
    <w:rsid w:val="02290C40"/>
    <w:rsid w:val="022D1862"/>
    <w:rsid w:val="023F0464"/>
    <w:rsid w:val="023F66B6"/>
    <w:rsid w:val="024261A6"/>
    <w:rsid w:val="024535A0"/>
    <w:rsid w:val="02587777"/>
    <w:rsid w:val="02702D13"/>
    <w:rsid w:val="0273635F"/>
    <w:rsid w:val="027F6AB2"/>
    <w:rsid w:val="028440C8"/>
    <w:rsid w:val="02881E0B"/>
    <w:rsid w:val="028A4775"/>
    <w:rsid w:val="028B36A9"/>
    <w:rsid w:val="02A66735"/>
    <w:rsid w:val="02A8425B"/>
    <w:rsid w:val="02AB78A7"/>
    <w:rsid w:val="02AD7AC3"/>
    <w:rsid w:val="02B23EDB"/>
    <w:rsid w:val="02B71434"/>
    <w:rsid w:val="02BD2DDC"/>
    <w:rsid w:val="02DA018C"/>
    <w:rsid w:val="02DE5ECF"/>
    <w:rsid w:val="02E64D83"/>
    <w:rsid w:val="03011BBD"/>
    <w:rsid w:val="03060F81"/>
    <w:rsid w:val="03086AA8"/>
    <w:rsid w:val="030F5E26"/>
    <w:rsid w:val="03127217"/>
    <w:rsid w:val="0314369E"/>
    <w:rsid w:val="03200295"/>
    <w:rsid w:val="032512BE"/>
    <w:rsid w:val="03280EF8"/>
    <w:rsid w:val="03353615"/>
    <w:rsid w:val="03393105"/>
    <w:rsid w:val="036379EF"/>
    <w:rsid w:val="036C34DA"/>
    <w:rsid w:val="037759DB"/>
    <w:rsid w:val="03A8028B"/>
    <w:rsid w:val="03AC7D7B"/>
    <w:rsid w:val="03C2134C"/>
    <w:rsid w:val="03C74F09"/>
    <w:rsid w:val="03C965AB"/>
    <w:rsid w:val="03CA0201"/>
    <w:rsid w:val="03DB3612"/>
    <w:rsid w:val="03E33071"/>
    <w:rsid w:val="03E5328D"/>
    <w:rsid w:val="03F37758"/>
    <w:rsid w:val="040C0819"/>
    <w:rsid w:val="040C25C7"/>
    <w:rsid w:val="040E2F10"/>
    <w:rsid w:val="040E6340"/>
    <w:rsid w:val="042A0CA0"/>
    <w:rsid w:val="043B10FF"/>
    <w:rsid w:val="04484531"/>
    <w:rsid w:val="044C330C"/>
    <w:rsid w:val="046917C8"/>
    <w:rsid w:val="04695C6C"/>
    <w:rsid w:val="04732647"/>
    <w:rsid w:val="047D34C5"/>
    <w:rsid w:val="04812CC4"/>
    <w:rsid w:val="04B35139"/>
    <w:rsid w:val="04B862AB"/>
    <w:rsid w:val="04BD7D66"/>
    <w:rsid w:val="04C630A7"/>
    <w:rsid w:val="04CB4231"/>
    <w:rsid w:val="05094418"/>
    <w:rsid w:val="051C2CDE"/>
    <w:rsid w:val="05355B4E"/>
    <w:rsid w:val="05373674"/>
    <w:rsid w:val="054144F3"/>
    <w:rsid w:val="05452235"/>
    <w:rsid w:val="055B3806"/>
    <w:rsid w:val="056D52E8"/>
    <w:rsid w:val="056D7096"/>
    <w:rsid w:val="05704D57"/>
    <w:rsid w:val="05883ED0"/>
    <w:rsid w:val="058F1702"/>
    <w:rsid w:val="059960DD"/>
    <w:rsid w:val="059B1E55"/>
    <w:rsid w:val="059C3DB6"/>
    <w:rsid w:val="059E7B97"/>
    <w:rsid w:val="05B47256"/>
    <w:rsid w:val="05CA273A"/>
    <w:rsid w:val="05D37841"/>
    <w:rsid w:val="05D53AD5"/>
    <w:rsid w:val="05D610DF"/>
    <w:rsid w:val="05D67331"/>
    <w:rsid w:val="05F17CC7"/>
    <w:rsid w:val="060317A8"/>
    <w:rsid w:val="06181294"/>
    <w:rsid w:val="061F2A86"/>
    <w:rsid w:val="063302DF"/>
    <w:rsid w:val="065169B7"/>
    <w:rsid w:val="065344DE"/>
    <w:rsid w:val="066761DB"/>
    <w:rsid w:val="066A7A79"/>
    <w:rsid w:val="066F04FF"/>
    <w:rsid w:val="067601CC"/>
    <w:rsid w:val="067803E8"/>
    <w:rsid w:val="06896151"/>
    <w:rsid w:val="068A3C77"/>
    <w:rsid w:val="06954AF6"/>
    <w:rsid w:val="06982838"/>
    <w:rsid w:val="0698721F"/>
    <w:rsid w:val="06A632F4"/>
    <w:rsid w:val="06AE3E0A"/>
    <w:rsid w:val="06B56F46"/>
    <w:rsid w:val="06D66EBD"/>
    <w:rsid w:val="06E82466"/>
    <w:rsid w:val="06E94E42"/>
    <w:rsid w:val="06F37CAA"/>
    <w:rsid w:val="06FD269B"/>
    <w:rsid w:val="070140D7"/>
    <w:rsid w:val="07064C57"/>
    <w:rsid w:val="07110764"/>
    <w:rsid w:val="07155C37"/>
    <w:rsid w:val="07161BE8"/>
    <w:rsid w:val="07210F5B"/>
    <w:rsid w:val="07267E44"/>
    <w:rsid w:val="072919FB"/>
    <w:rsid w:val="072E028C"/>
    <w:rsid w:val="073A38EF"/>
    <w:rsid w:val="07416A2C"/>
    <w:rsid w:val="07500A1D"/>
    <w:rsid w:val="07527CF9"/>
    <w:rsid w:val="07554285"/>
    <w:rsid w:val="07750484"/>
    <w:rsid w:val="07754928"/>
    <w:rsid w:val="07862691"/>
    <w:rsid w:val="07931267"/>
    <w:rsid w:val="07A80859"/>
    <w:rsid w:val="07A86137"/>
    <w:rsid w:val="07B611C8"/>
    <w:rsid w:val="07B95303"/>
    <w:rsid w:val="07BC4304"/>
    <w:rsid w:val="07C46666"/>
    <w:rsid w:val="07D37038"/>
    <w:rsid w:val="07E35D35"/>
    <w:rsid w:val="07ED0962"/>
    <w:rsid w:val="07F27D26"/>
    <w:rsid w:val="08002443"/>
    <w:rsid w:val="080261BB"/>
    <w:rsid w:val="080737D2"/>
    <w:rsid w:val="080A5070"/>
    <w:rsid w:val="080D2DB2"/>
    <w:rsid w:val="080D4B31"/>
    <w:rsid w:val="08236132"/>
    <w:rsid w:val="082F2355"/>
    <w:rsid w:val="0847418A"/>
    <w:rsid w:val="08554843"/>
    <w:rsid w:val="086D0371"/>
    <w:rsid w:val="08793FA4"/>
    <w:rsid w:val="088766C0"/>
    <w:rsid w:val="088F5575"/>
    <w:rsid w:val="08905A42"/>
    <w:rsid w:val="08940DDD"/>
    <w:rsid w:val="08986B20"/>
    <w:rsid w:val="08AE6343"/>
    <w:rsid w:val="08AF79C5"/>
    <w:rsid w:val="08B651F8"/>
    <w:rsid w:val="08BA4CE8"/>
    <w:rsid w:val="08C2594B"/>
    <w:rsid w:val="08CC67C9"/>
    <w:rsid w:val="08CF0DF4"/>
    <w:rsid w:val="08D31906"/>
    <w:rsid w:val="08DA2C94"/>
    <w:rsid w:val="08EA07A4"/>
    <w:rsid w:val="08F04266"/>
    <w:rsid w:val="08F13E62"/>
    <w:rsid w:val="08F31FA8"/>
    <w:rsid w:val="09067F2D"/>
    <w:rsid w:val="091A12E3"/>
    <w:rsid w:val="093323A4"/>
    <w:rsid w:val="093E1F1D"/>
    <w:rsid w:val="09410F65"/>
    <w:rsid w:val="094D16B8"/>
    <w:rsid w:val="094D790A"/>
    <w:rsid w:val="094E5430"/>
    <w:rsid w:val="09502F56"/>
    <w:rsid w:val="095A2027"/>
    <w:rsid w:val="09664528"/>
    <w:rsid w:val="097A4477"/>
    <w:rsid w:val="098A46BA"/>
    <w:rsid w:val="09945539"/>
    <w:rsid w:val="099C43EE"/>
    <w:rsid w:val="09A45050"/>
    <w:rsid w:val="09A81073"/>
    <w:rsid w:val="09A87CBD"/>
    <w:rsid w:val="09B82DDB"/>
    <w:rsid w:val="09C33728"/>
    <w:rsid w:val="09E33DCA"/>
    <w:rsid w:val="09F47D86"/>
    <w:rsid w:val="0A193C90"/>
    <w:rsid w:val="0A20096D"/>
    <w:rsid w:val="0A283ED3"/>
    <w:rsid w:val="0A3E54A5"/>
    <w:rsid w:val="0A466107"/>
    <w:rsid w:val="0A530F50"/>
    <w:rsid w:val="0A570314"/>
    <w:rsid w:val="0A6749FB"/>
    <w:rsid w:val="0A6A68A1"/>
    <w:rsid w:val="0A6D0DFD"/>
    <w:rsid w:val="0A6D18E6"/>
    <w:rsid w:val="0A6F565E"/>
    <w:rsid w:val="0A717628"/>
    <w:rsid w:val="0A726B8A"/>
    <w:rsid w:val="0A764C3F"/>
    <w:rsid w:val="0A7A5E11"/>
    <w:rsid w:val="0A835A33"/>
    <w:rsid w:val="0A856C30"/>
    <w:rsid w:val="0A8729A8"/>
    <w:rsid w:val="0A8A693C"/>
    <w:rsid w:val="0A913826"/>
    <w:rsid w:val="0A9450C5"/>
    <w:rsid w:val="0A9E0359"/>
    <w:rsid w:val="0AB614DF"/>
    <w:rsid w:val="0AC809B4"/>
    <w:rsid w:val="0ACB6839"/>
    <w:rsid w:val="0AD876A7"/>
    <w:rsid w:val="0AFC15E8"/>
    <w:rsid w:val="0B1306DF"/>
    <w:rsid w:val="0B154457"/>
    <w:rsid w:val="0B186F16"/>
    <w:rsid w:val="0B1904A4"/>
    <w:rsid w:val="0B19462C"/>
    <w:rsid w:val="0B2621C1"/>
    <w:rsid w:val="0B297F03"/>
    <w:rsid w:val="0B2D6095"/>
    <w:rsid w:val="0B2E72C7"/>
    <w:rsid w:val="0B422D73"/>
    <w:rsid w:val="0B4E1717"/>
    <w:rsid w:val="0B50723E"/>
    <w:rsid w:val="0B78442A"/>
    <w:rsid w:val="0B787EE0"/>
    <w:rsid w:val="0B835865"/>
    <w:rsid w:val="0B845139"/>
    <w:rsid w:val="0B8909A2"/>
    <w:rsid w:val="0B925AA8"/>
    <w:rsid w:val="0B974E6D"/>
    <w:rsid w:val="0BA457DB"/>
    <w:rsid w:val="0BAD4D82"/>
    <w:rsid w:val="0BC47C2C"/>
    <w:rsid w:val="0BC639A4"/>
    <w:rsid w:val="0BC67500"/>
    <w:rsid w:val="0BE1433A"/>
    <w:rsid w:val="0BED3818"/>
    <w:rsid w:val="0BF978D5"/>
    <w:rsid w:val="0C105683"/>
    <w:rsid w:val="0C126BE9"/>
    <w:rsid w:val="0C1F456F"/>
    <w:rsid w:val="0C394176"/>
    <w:rsid w:val="0C395F24"/>
    <w:rsid w:val="0C4A0131"/>
    <w:rsid w:val="0C500D68"/>
    <w:rsid w:val="0C523489"/>
    <w:rsid w:val="0C5C7E64"/>
    <w:rsid w:val="0C5E3BDC"/>
    <w:rsid w:val="0C6A2581"/>
    <w:rsid w:val="0C6F08D3"/>
    <w:rsid w:val="0C762CD4"/>
    <w:rsid w:val="0C7B653C"/>
    <w:rsid w:val="0C7C593C"/>
    <w:rsid w:val="0C833643"/>
    <w:rsid w:val="0C837979"/>
    <w:rsid w:val="0C844725"/>
    <w:rsid w:val="0C8D626F"/>
    <w:rsid w:val="0C8F1FE8"/>
    <w:rsid w:val="0C99013C"/>
    <w:rsid w:val="0CA75583"/>
    <w:rsid w:val="0CAC4948"/>
    <w:rsid w:val="0CAD0C97"/>
    <w:rsid w:val="0CD8398F"/>
    <w:rsid w:val="0CD9038A"/>
    <w:rsid w:val="0CF02C38"/>
    <w:rsid w:val="0CF12CA2"/>
    <w:rsid w:val="0D06659F"/>
    <w:rsid w:val="0D246BD4"/>
    <w:rsid w:val="0D272220"/>
    <w:rsid w:val="0D2E7A52"/>
    <w:rsid w:val="0D38442D"/>
    <w:rsid w:val="0D556D8D"/>
    <w:rsid w:val="0D64215F"/>
    <w:rsid w:val="0D725B91"/>
    <w:rsid w:val="0D8D29CB"/>
    <w:rsid w:val="0D9755F8"/>
    <w:rsid w:val="0DA25D4B"/>
    <w:rsid w:val="0DB00467"/>
    <w:rsid w:val="0DB241E0"/>
    <w:rsid w:val="0DC42165"/>
    <w:rsid w:val="0DCB3427"/>
    <w:rsid w:val="0DCD2DC7"/>
    <w:rsid w:val="0DD51C7C"/>
    <w:rsid w:val="0DDA6377"/>
    <w:rsid w:val="0DDF0D4D"/>
    <w:rsid w:val="0DEE031E"/>
    <w:rsid w:val="0DFC2DC9"/>
    <w:rsid w:val="0DFE11D3"/>
    <w:rsid w:val="0E082D07"/>
    <w:rsid w:val="0E08589A"/>
    <w:rsid w:val="0E145687"/>
    <w:rsid w:val="0E283FB3"/>
    <w:rsid w:val="0E2A1FC8"/>
    <w:rsid w:val="0E2D7D0A"/>
    <w:rsid w:val="0E340CB9"/>
    <w:rsid w:val="0E39045D"/>
    <w:rsid w:val="0E4D3F08"/>
    <w:rsid w:val="0E545297"/>
    <w:rsid w:val="0E567261"/>
    <w:rsid w:val="0E721BC1"/>
    <w:rsid w:val="0E7616B1"/>
    <w:rsid w:val="0E7771D7"/>
    <w:rsid w:val="0E7938DE"/>
    <w:rsid w:val="0E947D89"/>
    <w:rsid w:val="0E9D4E90"/>
    <w:rsid w:val="0EA0228A"/>
    <w:rsid w:val="0EAC50D3"/>
    <w:rsid w:val="0EC57F43"/>
    <w:rsid w:val="0ECB7CA1"/>
    <w:rsid w:val="0ED65CAC"/>
    <w:rsid w:val="0ED9579C"/>
    <w:rsid w:val="0EE619A8"/>
    <w:rsid w:val="0EED1247"/>
    <w:rsid w:val="0EF95E3E"/>
    <w:rsid w:val="0F032819"/>
    <w:rsid w:val="0F156190"/>
    <w:rsid w:val="0F230477"/>
    <w:rsid w:val="0F256C33"/>
    <w:rsid w:val="0F3341F4"/>
    <w:rsid w:val="0F4A0448"/>
    <w:rsid w:val="0F4B669A"/>
    <w:rsid w:val="0F563291"/>
    <w:rsid w:val="0F8C280E"/>
    <w:rsid w:val="0F96368D"/>
    <w:rsid w:val="0F977B31"/>
    <w:rsid w:val="0F985657"/>
    <w:rsid w:val="0FB0474F"/>
    <w:rsid w:val="0FB51D65"/>
    <w:rsid w:val="0FC8073D"/>
    <w:rsid w:val="0FC87CEA"/>
    <w:rsid w:val="0FC95811"/>
    <w:rsid w:val="0FD06B9F"/>
    <w:rsid w:val="0FE91A0F"/>
    <w:rsid w:val="0FF22BD6"/>
    <w:rsid w:val="10066A65"/>
    <w:rsid w:val="100E549C"/>
    <w:rsid w:val="101822F4"/>
    <w:rsid w:val="101A2510"/>
    <w:rsid w:val="101A62D4"/>
    <w:rsid w:val="101C1DE4"/>
    <w:rsid w:val="10246EEB"/>
    <w:rsid w:val="102F7D69"/>
    <w:rsid w:val="103510F8"/>
    <w:rsid w:val="104135F9"/>
    <w:rsid w:val="1041483A"/>
    <w:rsid w:val="104430E9"/>
    <w:rsid w:val="1045758D"/>
    <w:rsid w:val="104B26C9"/>
    <w:rsid w:val="10507C8F"/>
    <w:rsid w:val="105C6685"/>
    <w:rsid w:val="107A6B0B"/>
    <w:rsid w:val="108550E0"/>
    <w:rsid w:val="108C51BC"/>
    <w:rsid w:val="109220A6"/>
    <w:rsid w:val="10945158"/>
    <w:rsid w:val="10A51DDA"/>
    <w:rsid w:val="10BD64F2"/>
    <w:rsid w:val="10C36704"/>
    <w:rsid w:val="10C8367A"/>
    <w:rsid w:val="10D821AF"/>
    <w:rsid w:val="10FE598E"/>
    <w:rsid w:val="11056D1C"/>
    <w:rsid w:val="11164A85"/>
    <w:rsid w:val="11254CC9"/>
    <w:rsid w:val="11544F10"/>
    <w:rsid w:val="116E6670"/>
    <w:rsid w:val="11716160"/>
    <w:rsid w:val="117A3266"/>
    <w:rsid w:val="117D68B3"/>
    <w:rsid w:val="11963E18"/>
    <w:rsid w:val="11A622AD"/>
    <w:rsid w:val="11A958FA"/>
    <w:rsid w:val="11AC7198"/>
    <w:rsid w:val="11BC387F"/>
    <w:rsid w:val="11C91AF8"/>
    <w:rsid w:val="11CC15E8"/>
    <w:rsid w:val="11CC783A"/>
    <w:rsid w:val="11E409E0"/>
    <w:rsid w:val="11EE77B0"/>
    <w:rsid w:val="11FD5C45"/>
    <w:rsid w:val="12042B30"/>
    <w:rsid w:val="120B3EBE"/>
    <w:rsid w:val="120E1C01"/>
    <w:rsid w:val="121277D8"/>
    <w:rsid w:val="12241424"/>
    <w:rsid w:val="123C49C0"/>
    <w:rsid w:val="12411FD6"/>
    <w:rsid w:val="124A3908"/>
    <w:rsid w:val="12506973"/>
    <w:rsid w:val="12614426"/>
    <w:rsid w:val="12681311"/>
    <w:rsid w:val="126A1401"/>
    <w:rsid w:val="126B7053"/>
    <w:rsid w:val="127F3C88"/>
    <w:rsid w:val="128D6FC9"/>
    <w:rsid w:val="12900868"/>
    <w:rsid w:val="12955E7E"/>
    <w:rsid w:val="129F7AF0"/>
    <w:rsid w:val="12A04F4F"/>
    <w:rsid w:val="12AC38F3"/>
    <w:rsid w:val="12B60256"/>
    <w:rsid w:val="12D0549C"/>
    <w:rsid w:val="12DB7D35"/>
    <w:rsid w:val="12E0534B"/>
    <w:rsid w:val="12EC0194"/>
    <w:rsid w:val="130C3B50"/>
    <w:rsid w:val="1312127D"/>
    <w:rsid w:val="131821D8"/>
    <w:rsid w:val="1329102B"/>
    <w:rsid w:val="132A0CBC"/>
    <w:rsid w:val="13315C85"/>
    <w:rsid w:val="133E2072"/>
    <w:rsid w:val="13426006"/>
    <w:rsid w:val="13427DB4"/>
    <w:rsid w:val="134A6C68"/>
    <w:rsid w:val="136417B1"/>
    <w:rsid w:val="136F3FAF"/>
    <w:rsid w:val="1370283F"/>
    <w:rsid w:val="13741F37"/>
    <w:rsid w:val="137809C1"/>
    <w:rsid w:val="13781A27"/>
    <w:rsid w:val="137A57A0"/>
    <w:rsid w:val="13906D71"/>
    <w:rsid w:val="13A457F3"/>
    <w:rsid w:val="13A62350"/>
    <w:rsid w:val="13A91BE1"/>
    <w:rsid w:val="13A9398F"/>
    <w:rsid w:val="13B146D4"/>
    <w:rsid w:val="13B54A2A"/>
    <w:rsid w:val="13C20EF5"/>
    <w:rsid w:val="13C22CA3"/>
    <w:rsid w:val="13C24A51"/>
    <w:rsid w:val="13D749A0"/>
    <w:rsid w:val="13D84274"/>
    <w:rsid w:val="13E35B39"/>
    <w:rsid w:val="13E40E6B"/>
    <w:rsid w:val="13E85A91"/>
    <w:rsid w:val="13EC5F71"/>
    <w:rsid w:val="13F07810"/>
    <w:rsid w:val="13FC3737"/>
    <w:rsid w:val="14063507"/>
    <w:rsid w:val="140C639F"/>
    <w:rsid w:val="141259D8"/>
    <w:rsid w:val="141352AC"/>
    <w:rsid w:val="142676D5"/>
    <w:rsid w:val="143E22D4"/>
    <w:rsid w:val="14465682"/>
    <w:rsid w:val="14470E31"/>
    <w:rsid w:val="14636234"/>
    <w:rsid w:val="146401FE"/>
    <w:rsid w:val="146A5814"/>
    <w:rsid w:val="14711346"/>
    <w:rsid w:val="14770AD7"/>
    <w:rsid w:val="147C5547"/>
    <w:rsid w:val="147C72F5"/>
    <w:rsid w:val="14830684"/>
    <w:rsid w:val="148F54F3"/>
    <w:rsid w:val="14924074"/>
    <w:rsid w:val="14972381"/>
    <w:rsid w:val="14983A03"/>
    <w:rsid w:val="149E726C"/>
    <w:rsid w:val="149F4D92"/>
    <w:rsid w:val="14A12BD5"/>
    <w:rsid w:val="14A32AD4"/>
    <w:rsid w:val="14A36AD8"/>
    <w:rsid w:val="14A5684C"/>
    <w:rsid w:val="14AD74AF"/>
    <w:rsid w:val="14BC76F2"/>
    <w:rsid w:val="14CA62B3"/>
    <w:rsid w:val="14D07641"/>
    <w:rsid w:val="14D42C8D"/>
    <w:rsid w:val="14E05AD6"/>
    <w:rsid w:val="14E32ED1"/>
    <w:rsid w:val="14E336E2"/>
    <w:rsid w:val="14E46C49"/>
    <w:rsid w:val="14E54E9B"/>
    <w:rsid w:val="14F3403C"/>
    <w:rsid w:val="15001CD4"/>
    <w:rsid w:val="1505553D"/>
    <w:rsid w:val="151439D2"/>
    <w:rsid w:val="151C682B"/>
    <w:rsid w:val="154F67B8"/>
    <w:rsid w:val="15543DCE"/>
    <w:rsid w:val="156009C5"/>
    <w:rsid w:val="15647274"/>
    <w:rsid w:val="15766853"/>
    <w:rsid w:val="15826B8D"/>
    <w:rsid w:val="1596722A"/>
    <w:rsid w:val="15A308B2"/>
    <w:rsid w:val="15AD3816"/>
    <w:rsid w:val="15B83744"/>
    <w:rsid w:val="15C01464"/>
    <w:rsid w:val="15C745A0"/>
    <w:rsid w:val="15CC30E8"/>
    <w:rsid w:val="15D30E2C"/>
    <w:rsid w:val="15D60F6E"/>
    <w:rsid w:val="15D942D4"/>
    <w:rsid w:val="15E72E94"/>
    <w:rsid w:val="15F5735F"/>
    <w:rsid w:val="15FF3D3A"/>
    <w:rsid w:val="16026CE4"/>
    <w:rsid w:val="16041350"/>
    <w:rsid w:val="160A26DF"/>
    <w:rsid w:val="160F6C80"/>
    <w:rsid w:val="161768F2"/>
    <w:rsid w:val="163634D4"/>
    <w:rsid w:val="165C118C"/>
    <w:rsid w:val="165C73DE"/>
    <w:rsid w:val="166E2C6E"/>
    <w:rsid w:val="167329F4"/>
    <w:rsid w:val="167C182F"/>
    <w:rsid w:val="1680302E"/>
    <w:rsid w:val="1683496B"/>
    <w:rsid w:val="16985F3D"/>
    <w:rsid w:val="169C5A2D"/>
    <w:rsid w:val="16AB6774"/>
    <w:rsid w:val="16AF66B2"/>
    <w:rsid w:val="16B0772A"/>
    <w:rsid w:val="16BC4406"/>
    <w:rsid w:val="16CE4F2C"/>
    <w:rsid w:val="16D276A1"/>
    <w:rsid w:val="16ED1BE3"/>
    <w:rsid w:val="16ED6288"/>
    <w:rsid w:val="16F13FCB"/>
    <w:rsid w:val="170D2487"/>
    <w:rsid w:val="171B1048"/>
    <w:rsid w:val="17215F32"/>
    <w:rsid w:val="173220AD"/>
    <w:rsid w:val="17375756"/>
    <w:rsid w:val="17451C21"/>
    <w:rsid w:val="174C7453"/>
    <w:rsid w:val="175E7186"/>
    <w:rsid w:val="176522C3"/>
    <w:rsid w:val="176A78D9"/>
    <w:rsid w:val="178766DD"/>
    <w:rsid w:val="17944956"/>
    <w:rsid w:val="17A4103D"/>
    <w:rsid w:val="17A64699"/>
    <w:rsid w:val="17AA5F28"/>
    <w:rsid w:val="17B648CC"/>
    <w:rsid w:val="17C52D61"/>
    <w:rsid w:val="17CC40F0"/>
    <w:rsid w:val="17EA67D9"/>
    <w:rsid w:val="17EB089C"/>
    <w:rsid w:val="17F04282"/>
    <w:rsid w:val="17F906B8"/>
    <w:rsid w:val="17FD48F0"/>
    <w:rsid w:val="18001FEB"/>
    <w:rsid w:val="18047D2E"/>
    <w:rsid w:val="18117D55"/>
    <w:rsid w:val="181F6915"/>
    <w:rsid w:val="182201B4"/>
    <w:rsid w:val="18256CE9"/>
    <w:rsid w:val="18493992"/>
    <w:rsid w:val="18500EE4"/>
    <w:rsid w:val="185B04CB"/>
    <w:rsid w:val="186277BB"/>
    <w:rsid w:val="18866995"/>
    <w:rsid w:val="18972D09"/>
    <w:rsid w:val="18B51028"/>
    <w:rsid w:val="18B84674"/>
    <w:rsid w:val="18BC5F12"/>
    <w:rsid w:val="18BE1FCB"/>
    <w:rsid w:val="18CE20EA"/>
    <w:rsid w:val="18DA45EA"/>
    <w:rsid w:val="18ED6A14"/>
    <w:rsid w:val="18F57676"/>
    <w:rsid w:val="190C3220"/>
    <w:rsid w:val="191F64A1"/>
    <w:rsid w:val="193E259F"/>
    <w:rsid w:val="194E38FC"/>
    <w:rsid w:val="197762DD"/>
    <w:rsid w:val="19831126"/>
    <w:rsid w:val="19832ED4"/>
    <w:rsid w:val="198C1D89"/>
    <w:rsid w:val="199B570B"/>
    <w:rsid w:val="19A03A86"/>
    <w:rsid w:val="19B6552F"/>
    <w:rsid w:val="19BE5CBA"/>
    <w:rsid w:val="19EE7B83"/>
    <w:rsid w:val="19F71242"/>
    <w:rsid w:val="1A0C111B"/>
    <w:rsid w:val="1A1F2BFD"/>
    <w:rsid w:val="1A204BC7"/>
    <w:rsid w:val="1A2A3350"/>
    <w:rsid w:val="1A444411"/>
    <w:rsid w:val="1A512FD2"/>
    <w:rsid w:val="1A58610F"/>
    <w:rsid w:val="1A5959E3"/>
    <w:rsid w:val="1A5D1977"/>
    <w:rsid w:val="1A604FC3"/>
    <w:rsid w:val="1A725BD3"/>
    <w:rsid w:val="1A750A6F"/>
    <w:rsid w:val="1A872550"/>
    <w:rsid w:val="1A8B2E61"/>
    <w:rsid w:val="1A8E7D82"/>
    <w:rsid w:val="1A9D6217"/>
    <w:rsid w:val="1AB175CD"/>
    <w:rsid w:val="1AD003D6"/>
    <w:rsid w:val="1AD82DAC"/>
    <w:rsid w:val="1AD87250"/>
    <w:rsid w:val="1AE41750"/>
    <w:rsid w:val="1AFC0863"/>
    <w:rsid w:val="1AFF5D54"/>
    <w:rsid w:val="1B275E9D"/>
    <w:rsid w:val="1B3063A9"/>
    <w:rsid w:val="1B373F76"/>
    <w:rsid w:val="1B3E5305"/>
    <w:rsid w:val="1B4C5AF8"/>
    <w:rsid w:val="1B56689D"/>
    <w:rsid w:val="1B5C39DD"/>
    <w:rsid w:val="1B6805D3"/>
    <w:rsid w:val="1B830F1D"/>
    <w:rsid w:val="1BA57132"/>
    <w:rsid w:val="1BB43819"/>
    <w:rsid w:val="1BC05D1A"/>
    <w:rsid w:val="1BCC0B62"/>
    <w:rsid w:val="1BD417C5"/>
    <w:rsid w:val="1BD71A93"/>
    <w:rsid w:val="1BD96DDB"/>
    <w:rsid w:val="1BED2887"/>
    <w:rsid w:val="1BF956CF"/>
    <w:rsid w:val="1C01254B"/>
    <w:rsid w:val="1C024584"/>
    <w:rsid w:val="1C093B64"/>
    <w:rsid w:val="1C393D1E"/>
    <w:rsid w:val="1C3E5861"/>
    <w:rsid w:val="1C4050AC"/>
    <w:rsid w:val="1C427076"/>
    <w:rsid w:val="1C492974"/>
    <w:rsid w:val="1C56667E"/>
    <w:rsid w:val="1C645B91"/>
    <w:rsid w:val="1C7747DC"/>
    <w:rsid w:val="1C907DE2"/>
    <w:rsid w:val="1CB33AD0"/>
    <w:rsid w:val="1CC26B08"/>
    <w:rsid w:val="1CCC6940"/>
    <w:rsid w:val="1CDD28FB"/>
    <w:rsid w:val="1CEE423D"/>
    <w:rsid w:val="1CF10155"/>
    <w:rsid w:val="1CFC0FD3"/>
    <w:rsid w:val="1CFD5264"/>
    <w:rsid w:val="1D047337"/>
    <w:rsid w:val="1D063C00"/>
    <w:rsid w:val="1D2422D8"/>
    <w:rsid w:val="1D2574B3"/>
    <w:rsid w:val="1D2855E8"/>
    <w:rsid w:val="1D2D4A96"/>
    <w:rsid w:val="1D316D67"/>
    <w:rsid w:val="1D3369BF"/>
    <w:rsid w:val="1D385D84"/>
    <w:rsid w:val="1D3A1AFC"/>
    <w:rsid w:val="1D3D339A"/>
    <w:rsid w:val="1D3E15EC"/>
    <w:rsid w:val="1D4666F2"/>
    <w:rsid w:val="1D48246B"/>
    <w:rsid w:val="1D4B1F5B"/>
    <w:rsid w:val="1D5E1C8E"/>
    <w:rsid w:val="1D6333DE"/>
    <w:rsid w:val="1D6848BB"/>
    <w:rsid w:val="1D686669"/>
    <w:rsid w:val="1D6E79F7"/>
    <w:rsid w:val="1D74500E"/>
    <w:rsid w:val="1D7902E3"/>
    <w:rsid w:val="1D790876"/>
    <w:rsid w:val="1D835251"/>
    <w:rsid w:val="1D8B67FB"/>
    <w:rsid w:val="1D8F7A7E"/>
    <w:rsid w:val="1D9A259A"/>
    <w:rsid w:val="1D9C6312"/>
    <w:rsid w:val="1DA43327"/>
    <w:rsid w:val="1DAB47A7"/>
    <w:rsid w:val="1DB25B36"/>
    <w:rsid w:val="1DC84451"/>
    <w:rsid w:val="1DCE5BD1"/>
    <w:rsid w:val="1DD106B2"/>
    <w:rsid w:val="1DE226F6"/>
    <w:rsid w:val="1DFA7C48"/>
    <w:rsid w:val="1E37428D"/>
    <w:rsid w:val="1E4E394E"/>
    <w:rsid w:val="1E5F6ACA"/>
    <w:rsid w:val="1E650DFA"/>
    <w:rsid w:val="1E7B65EF"/>
    <w:rsid w:val="1E8474D2"/>
    <w:rsid w:val="1E894AE9"/>
    <w:rsid w:val="1E8F7C25"/>
    <w:rsid w:val="1EBE4327"/>
    <w:rsid w:val="1EC91389"/>
    <w:rsid w:val="1ECC0E79"/>
    <w:rsid w:val="1EDA17E8"/>
    <w:rsid w:val="1EE37BF8"/>
    <w:rsid w:val="1EF23D6B"/>
    <w:rsid w:val="1EF81C6E"/>
    <w:rsid w:val="1EFF124F"/>
    <w:rsid w:val="1F265079"/>
    <w:rsid w:val="1F3507CD"/>
    <w:rsid w:val="1F3543D1"/>
    <w:rsid w:val="1F3C7DAD"/>
    <w:rsid w:val="1F58270D"/>
    <w:rsid w:val="1F745799"/>
    <w:rsid w:val="1F78690B"/>
    <w:rsid w:val="1FA0658E"/>
    <w:rsid w:val="1FBC2C9C"/>
    <w:rsid w:val="1FC77337"/>
    <w:rsid w:val="1FE12702"/>
    <w:rsid w:val="1FED4DFD"/>
    <w:rsid w:val="1FF71F26"/>
    <w:rsid w:val="1FFB1A16"/>
    <w:rsid w:val="20084133"/>
    <w:rsid w:val="20166850"/>
    <w:rsid w:val="20232D1B"/>
    <w:rsid w:val="202A39A5"/>
    <w:rsid w:val="202F0DF9"/>
    <w:rsid w:val="20452C91"/>
    <w:rsid w:val="204809D3"/>
    <w:rsid w:val="20542ED4"/>
    <w:rsid w:val="20692E24"/>
    <w:rsid w:val="206C46C2"/>
    <w:rsid w:val="207D067D"/>
    <w:rsid w:val="20831A0C"/>
    <w:rsid w:val="208F03B0"/>
    <w:rsid w:val="209B4FA7"/>
    <w:rsid w:val="209D487B"/>
    <w:rsid w:val="20A774A8"/>
    <w:rsid w:val="20B816B5"/>
    <w:rsid w:val="20BA58FF"/>
    <w:rsid w:val="20C04A0E"/>
    <w:rsid w:val="20C718F8"/>
    <w:rsid w:val="20CA36DB"/>
    <w:rsid w:val="20E06E5E"/>
    <w:rsid w:val="20E24984"/>
    <w:rsid w:val="20F45F3E"/>
    <w:rsid w:val="210D44B7"/>
    <w:rsid w:val="21271BF9"/>
    <w:rsid w:val="2129610F"/>
    <w:rsid w:val="21307981"/>
    <w:rsid w:val="21311468"/>
    <w:rsid w:val="214271D1"/>
    <w:rsid w:val="214F147B"/>
    <w:rsid w:val="215D225D"/>
    <w:rsid w:val="215E4D33"/>
    <w:rsid w:val="216C53BD"/>
    <w:rsid w:val="216E446A"/>
    <w:rsid w:val="21826E38"/>
    <w:rsid w:val="219C4B33"/>
    <w:rsid w:val="219E1A02"/>
    <w:rsid w:val="21AA36F4"/>
    <w:rsid w:val="21AE2AB8"/>
    <w:rsid w:val="21BE0F4D"/>
    <w:rsid w:val="21C127EB"/>
    <w:rsid w:val="21C85928"/>
    <w:rsid w:val="21D166C1"/>
    <w:rsid w:val="21D20555"/>
    <w:rsid w:val="21D267A7"/>
    <w:rsid w:val="21D342CD"/>
    <w:rsid w:val="21E64000"/>
    <w:rsid w:val="21F039A6"/>
    <w:rsid w:val="21F4496F"/>
    <w:rsid w:val="21F94D1F"/>
    <w:rsid w:val="22002BCF"/>
    <w:rsid w:val="22032E04"/>
    <w:rsid w:val="220B1CB9"/>
    <w:rsid w:val="22284619"/>
    <w:rsid w:val="22364F87"/>
    <w:rsid w:val="224F7DF7"/>
    <w:rsid w:val="22502C4C"/>
    <w:rsid w:val="2250591D"/>
    <w:rsid w:val="225418B2"/>
    <w:rsid w:val="225C2514"/>
    <w:rsid w:val="225C2F46"/>
    <w:rsid w:val="2268661C"/>
    <w:rsid w:val="22715FC0"/>
    <w:rsid w:val="227930C6"/>
    <w:rsid w:val="227A3848"/>
    <w:rsid w:val="22821F7B"/>
    <w:rsid w:val="22925F36"/>
    <w:rsid w:val="22AC524A"/>
    <w:rsid w:val="22B45E4A"/>
    <w:rsid w:val="22C81958"/>
    <w:rsid w:val="22E570DC"/>
    <w:rsid w:val="22F015DA"/>
    <w:rsid w:val="22F143F3"/>
    <w:rsid w:val="22F15723"/>
    <w:rsid w:val="22F34C27"/>
    <w:rsid w:val="22F4274D"/>
    <w:rsid w:val="22FB7F7F"/>
    <w:rsid w:val="22FC5438"/>
    <w:rsid w:val="23027B69"/>
    <w:rsid w:val="230304F3"/>
    <w:rsid w:val="2318468D"/>
    <w:rsid w:val="23290648"/>
    <w:rsid w:val="232B0864"/>
    <w:rsid w:val="232B5C53"/>
    <w:rsid w:val="23384D2F"/>
    <w:rsid w:val="233D1EA6"/>
    <w:rsid w:val="23613156"/>
    <w:rsid w:val="23645B24"/>
    <w:rsid w:val="23751ADF"/>
    <w:rsid w:val="237A5348"/>
    <w:rsid w:val="23867849"/>
    <w:rsid w:val="238E494F"/>
    <w:rsid w:val="23953F30"/>
    <w:rsid w:val="23B73EA6"/>
    <w:rsid w:val="23BF71FF"/>
    <w:rsid w:val="23DA6AE5"/>
    <w:rsid w:val="23EB73F8"/>
    <w:rsid w:val="24294678"/>
    <w:rsid w:val="242D4168"/>
    <w:rsid w:val="243467B4"/>
    <w:rsid w:val="2443398C"/>
    <w:rsid w:val="2443573A"/>
    <w:rsid w:val="24577437"/>
    <w:rsid w:val="24855D52"/>
    <w:rsid w:val="24857B00"/>
    <w:rsid w:val="248F097F"/>
    <w:rsid w:val="249271CF"/>
    <w:rsid w:val="24971EEC"/>
    <w:rsid w:val="24AF2DCF"/>
    <w:rsid w:val="24AF7273"/>
    <w:rsid w:val="24AF7F79"/>
    <w:rsid w:val="24B91EA0"/>
    <w:rsid w:val="24C543A1"/>
    <w:rsid w:val="24CF6FCD"/>
    <w:rsid w:val="24D46F82"/>
    <w:rsid w:val="24F46A34"/>
    <w:rsid w:val="24FA0C9D"/>
    <w:rsid w:val="24FD7FDE"/>
    <w:rsid w:val="25076767"/>
    <w:rsid w:val="25113A8A"/>
    <w:rsid w:val="25207829"/>
    <w:rsid w:val="252A68FA"/>
    <w:rsid w:val="252E0198"/>
    <w:rsid w:val="25387269"/>
    <w:rsid w:val="25494FD2"/>
    <w:rsid w:val="25535E50"/>
    <w:rsid w:val="25657932"/>
    <w:rsid w:val="256D6F65"/>
    <w:rsid w:val="25861D82"/>
    <w:rsid w:val="259A75DB"/>
    <w:rsid w:val="259B3353"/>
    <w:rsid w:val="25A16BBC"/>
    <w:rsid w:val="25CE54D7"/>
    <w:rsid w:val="25E5790C"/>
    <w:rsid w:val="25EE5B79"/>
    <w:rsid w:val="25EE7927"/>
    <w:rsid w:val="25F72C80"/>
    <w:rsid w:val="25F80363"/>
    <w:rsid w:val="2611248D"/>
    <w:rsid w:val="261E020C"/>
    <w:rsid w:val="26211AAB"/>
    <w:rsid w:val="26213859"/>
    <w:rsid w:val="26243349"/>
    <w:rsid w:val="262B0B7B"/>
    <w:rsid w:val="262B46D7"/>
    <w:rsid w:val="26396DF4"/>
    <w:rsid w:val="263A2B6C"/>
    <w:rsid w:val="263B69FA"/>
    <w:rsid w:val="263D7F73"/>
    <w:rsid w:val="263E440B"/>
    <w:rsid w:val="263F4CFB"/>
    <w:rsid w:val="26556842"/>
    <w:rsid w:val="26606A77"/>
    <w:rsid w:val="2661459D"/>
    <w:rsid w:val="266F2816"/>
    <w:rsid w:val="267267AA"/>
    <w:rsid w:val="267B565F"/>
    <w:rsid w:val="267B5DCA"/>
    <w:rsid w:val="268169ED"/>
    <w:rsid w:val="26920BFA"/>
    <w:rsid w:val="26A55934"/>
    <w:rsid w:val="26A61FB0"/>
    <w:rsid w:val="26AA4A6B"/>
    <w:rsid w:val="26B02E2F"/>
    <w:rsid w:val="26BB3CAD"/>
    <w:rsid w:val="26C16DEA"/>
    <w:rsid w:val="26C37006"/>
    <w:rsid w:val="26C708A4"/>
    <w:rsid w:val="26CA3EF0"/>
    <w:rsid w:val="26CF1507"/>
    <w:rsid w:val="26D27249"/>
    <w:rsid w:val="26D44D6F"/>
    <w:rsid w:val="26D93A2E"/>
    <w:rsid w:val="26E3633D"/>
    <w:rsid w:val="26EC6556"/>
    <w:rsid w:val="26EE4083"/>
    <w:rsid w:val="26FB054E"/>
    <w:rsid w:val="26FC7E22"/>
    <w:rsid w:val="27070CA1"/>
    <w:rsid w:val="273616FA"/>
    <w:rsid w:val="27435A51"/>
    <w:rsid w:val="27502468"/>
    <w:rsid w:val="275F0ADD"/>
    <w:rsid w:val="276C31F9"/>
    <w:rsid w:val="277852DF"/>
    <w:rsid w:val="277B51EB"/>
    <w:rsid w:val="27813E87"/>
    <w:rsid w:val="27840543"/>
    <w:rsid w:val="278E278E"/>
    <w:rsid w:val="27934C2A"/>
    <w:rsid w:val="279C5E68"/>
    <w:rsid w:val="279D33B3"/>
    <w:rsid w:val="279F712B"/>
    <w:rsid w:val="27A74232"/>
    <w:rsid w:val="27B106F9"/>
    <w:rsid w:val="27BC5F2F"/>
    <w:rsid w:val="27EA5347"/>
    <w:rsid w:val="27F07987"/>
    <w:rsid w:val="27F60D15"/>
    <w:rsid w:val="28023AAD"/>
    <w:rsid w:val="280B44BC"/>
    <w:rsid w:val="28173165"/>
    <w:rsid w:val="281D62A2"/>
    <w:rsid w:val="281E24F1"/>
    <w:rsid w:val="28210959"/>
    <w:rsid w:val="28292E99"/>
    <w:rsid w:val="283C0E1E"/>
    <w:rsid w:val="284657F9"/>
    <w:rsid w:val="284F6DA3"/>
    <w:rsid w:val="28500425"/>
    <w:rsid w:val="28506677"/>
    <w:rsid w:val="28575C58"/>
    <w:rsid w:val="285A12A4"/>
    <w:rsid w:val="28685AED"/>
    <w:rsid w:val="286D0FD7"/>
    <w:rsid w:val="28773C04"/>
    <w:rsid w:val="2896248B"/>
    <w:rsid w:val="28A01F9F"/>
    <w:rsid w:val="28A5455C"/>
    <w:rsid w:val="28AD1821"/>
    <w:rsid w:val="28B5297E"/>
    <w:rsid w:val="28CB0903"/>
    <w:rsid w:val="28D01566"/>
    <w:rsid w:val="28D343BB"/>
    <w:rsid w:val="28DF7FBB"/>
    <w:rsid w:val="28ED35B3"/>
    <w:rsid w:val="28F04484"/>
    <w:rsid w:val="28F45255"/>
    <w:rsid w:val="2903193C"/>
    <w:rsid w:val="29080D00"/>
    <w:rsid w:val="290A5904"/>
    <w:rsid w:val="290B35D8"/>
    <w:rsid w:val="29127DD1"/>
    <w:rsid w:val="29233D8C"/>
    <w:rsid w:val="292A6EC8"/>
    <w:rsid w:val="29387837"/>
    <w:rsid w:val="294A30C6"/>
    <w:rsid w:val="295108F9"/>
    <w:rsid w:val="29567CBD"/>
    <w:rsid w:val="296028EA"/>
    <w:rsid w:val="29634188"/>
    <w:rsid w:val="296879F1"/>
    <w:rsid w:val="297D2F47"/>
    <w:rsid w:val="2987256D"/>
    <w:rsid w:val="299A404E"/>
    <w:rsid w:val="299E6333"/>
    <w:rsid w:val="299E6507"/>
    <w:rsid w:val="29A9603F"/>
    <w:rsid w:val="29B46590"/>
    <w:rsid w:val="29B5668F"/>
    <w:rsid w:val="29B570DA"/>
    <w:rsid w:val="29CB06AB"/>
    <w:rsid w:val="29D15596"/>
    <w:rsid w:val="29D357B2"/>
    <w:rsid w:val="29DA08EE"/>
    <w:rsid w:val="29F51284"/>
    <w:rsid w:val="2A0E0598"/>
    <w:rsid w:val="2A104310"/>
    <w:rsid w:val="2A13795C"/>
    <w:rsid w:val="2A151926"/>
    <w:rsid w:val="2A1A518F"/>
    <w:rsid w:val="2A21651D"/>
    <w:rsid w:val="2A266E28"/>
    <w:rsid w:val="2A2A3EA1"/>
    <w:rsid w:val="2A337FFE"/>
    <w:rsid w:val="2A3873C3"/>
    <w:rsid w:val="2A3C1140"/>
    <w:rsid w:val="2A3D2C2B"/>
    <w:rsid w:val="2A4B359A"/>
    <w:rsid w:val="2A4E308A"/>
    <w:rsid w:val="2A5E151F"/>
    <w:rsid w:val="2A5E32CD"/>
    <w:rsid w:val="2A7530F1"/>
    <w:rsid w:val="2A8C35E1"/>
    <w:rsid w:val="2A8D5961"/>
    <w:rsid w:val="2A954815"/>
    <w:rsid w:val="2AAB228B"/>
    <w:rsid w:val="2ACB46DB"/>
    <w:rsid w:val="2ACF7D27"/>
    <w:rsid w:val="2AD40F00"/>
    <w:rsid w:val="2B0D4CF3"/>
    <w:rsid w:val="2B1A4D1A"/>
    <w:rsid w:val="2B2160A9"/>
    <w:rsid w:val="2B285689"/>
    <w:rsid w:val="2B395AE8"/>
    <w:rsid w:val="2B397896"/>
    <w:rsid w:val="2B3A3CA1"/>
    <w:rsid w:val="2B3D757E"/>
    <w:rsid w:val="2B514BE0"/>
    <w:rsid w:val="2B54022C"/>
    <w:rsid w:val="2B6A7A50"/>
    <w:rsid w:val="2B6E2239"/>
    <w:rsid w:val="2B795EE5"/>
    <w:rsid w:val="2BAA69F8"/>
    <w:rsid w:val="2BC03B14"/>
    <w:rsid w:val="2BC419E8"/>
    <w:rsid w:val="2BC5737C"/>
    <w:rsid w:val="2BDB6BA0"/>
    <w:rsid w:val="2BE23A8A"/>
    <w:rsid w:val="2BF13CCD"/>
    <w:rsid w:val="2BF65788"/>
    <w:rsid w:val="2C0A3210"/>
    <w:rsid w:val="2C0C4FAB"/>
    <w:rsid w:val="2C136339"/>
    <w:rsid w:val="2C2051E2"/>
    <w:rsid w:val="2C293467"/>
    <w:rsid w:val="2C3D3C50"/>
    <w:rsid w:val="2C3D6F12"/>
    <w:rsid w:val="2C55425C"/>
    <w:rsid w:val="2C587AAB"/>
    <w:rsid w:val="2C6B1CD2"/>
    <w:rsid w:val="2C7072E8"/>
    <w:rsid w:val="2CA451E4"/>
    <w:rsid w:val="2CB25EB2"/>
    <w:rsid w:val="2CD07D87"/>
    <w:rsid w:val="2CEB696E"/>
    <w:rsid w:val="2CEE38D7"/>
    <w:rsid w:val="2CF972DD"/>
    <w:rsid w:val="2CFF241A"/>
    <w:rsid w:val="2D047A30"/>
    <w:rsid w:val="2D0A3299"/>
    <w:rsid w:val="2D19172E"/>
    <w:rsid w:val="2D1B54A6"/>
    <w:rsid w:val="2D241E80"/>
    <w:rsid w:val="2D2D342B"/>
    <w:rsid w:val="2D371BB4"/>
    <w:rsid w:val="2D3A16A4"/>
    <w:rsid w:val="2D450775"/>
    <w:rsid w:val="2D452523"/>
    <w:rsid w:val="2D4C43EC"/>
    <w:rsid w:val="2D4D13D7"/>
    <w:rsid w:val="2D594220"/>
    <w:rsid w:val="2D5B5FD2"/>
    <w:rsid w:val="2D71156A"/>
    <w:rsid w:val="2D8748E9"/>
    <w:rsid w:val="2D8C63A3"/>
    <w:rsid w:val="2D954F24"/>
    <w:rsid w:val="2D964B2C"/>
    <w:rsid w:val="2DB33930"/>
    <w:rsid w:val="2DB72CF5"/>
    <w:rsid w:val="2DCF003E"/>
    <w:rsid w:val="2DD438A6"/>
    <w:rsid w:val="2DE73DBF"/>
    <w:rsid w:val="2E104609"/>
    <w:rsid w:val="2E13617D"/>
    <w:rsid w:val="2E162111"/>
    <w:rsid w:val="2E1A575D"/>
    <w:rsid w:val="2E304F81"/>
    <w:rsid w:val="2E536EC1"/>
    <w:rsid w:val="2E701821"/>
    <w:rsid w:val="2E812BAE"/>
    <w:rsid w:val="2E8D60F4"/>
    <w:rsid w:val="2E935510"/>
    <w:rsid w:val="2EA16209"/>
    <w:rsid w:val="2EBC7D67"/>
    <w:rsid w:val="2EC77E8E"/>
    <w:rsid w:val="2ED31DB0"/>
    <w:rsid w:val="2EE43FBD"/>
    <w:rsid w:val="2EF04710"/>
    <w:rsid w:val="2EF37D5C"/>
    <w:rsid w:val="2EF75A9F"/>
    <w:rsid w:val="2EFC30B5"/>
    <w:rsid w:val="2F0B32F8"/>
    <w:rsid w:val="2F1A353B"/>
    <w:rsid w:val="2F1F6DA3"/>
    <w:rsid w:val="2F2A2F03"/>
    <w:rsid w:val="2F2B5748"/>
    <w:rsid w:val="2F2D7712"/>
    <w:rsid w:val="2F3C1703"/>
    <w:rsid w:val="2F45680A"/>
    <w:rsid w:val="2F511CE2"/>
    <w:rsid w:val="2F5C2F71"/>
    <w:rsid w:val="2F6173BC"/>
    <w:rsid w:val="2F633C95"/>
    <w:rsid w:val="2F715851"/>
    <w:rsid w:val="2F754C15"/>
    <w:rsid w:val="2F7B2DB6"/>
    <w:rsid w:val="2F8530AA"/>
    <w:rsid w:val="2F974C2F"/>
    <w:rsid w:val="2F990904"/>
    <w:rsid w:val="2FA379D4"/>
    <w:rsid w:val="2FBB5CAE"/>
    <w:rsid w:val="2FBE480E"/>
    <w:rsid w:val="2FC85D49"/>
    <w:rsid w:val="2FCA4F61"/>
    <w:rsid w:val="2FD14541"/>
    <w:rsid w:val="2FE87CD4"/>
    <w:rsid w:val="2FFB336C"/>
    <w:rsid w:val="300761B5"/>
    <w:rsid w:val="301A5EE8"/>
    <w:rsid w:val="301B428D"/>
    <w:rsid w:val="30204B81"/>
    <w:rsid w:val="302208F9"/>
    <w:rsid w:val="30281C88"/>
    <w:rsid w:val="30295295"/>
    <w:rsid w:val="3031330E"/>
    <w:rsid w:val="30395C43"/>
    <w:rsid w:val="303D3985"/>
    <w:rsid w:val="304A524D"/>
    <w:rsid w:val="305129F5"/>
    <w:rsid w:val="305F6960"/>
    <w:rsid w:val="306553A3"/>
    <w:rsid w:val="30751371"/>
    <w:rsid w:val="308415B4"/>
    <w:rsid w:val="30A52322"/>
    <w:rsid w:val="30A734F4"/>
    <w:rsid w:val="30AF1753"/>
    <w:rsid w:val="30B17ECF"/>
    <w:rsid w:val="30BC5EEC"/>
    <w:rsid w:val="30C70839"/>
    <w:rsid w:val="30CE6CD3"/>
    <w:rsid w:val="30CE71C4"/>
    <w:rsid w:val="30D616E4"/>
    <w:rsid w:val="30E43E01"/>
    <w:rsid w:val="30EC4FCB"/>
    <w:rsid w:val="310444A3"/>
    <w:rsid w:val="310E5DFD"/>
    <w:rsid w:val="311346E6"/>
    <w:rsid w:val="31175F84"/>
    <w:rsid w:val="31235140"/>
    <w:rsid w:val="312C3125"/>
    <w:rsid w:val="31350B00"/>
    <w:rsid w:val="31401D64"/>
    <w:rsid w:val="31436D79"/>
    <w:rsid w:val="3147014D"/>
    <w:rsid w:val="31496359"/>
    <w:rsid w:val="31550DA9"/>
    <w:rsid w:val="315947EF"/>
    <w:rsid w:val="316A1119"/>
    <w:rsid w:val="317909ED"/>
    <w:rsid w:val="3179279B"/>
    <w:rsid w:val="318D3E35"/>
    <w:rsid w:val="31B5472E"/>
    <w:rsid w:val="31C559E0"/>
    <w:rsid w:val="31DB5204"/>
    <w:rsid w:val="31E3055C"/>
    <w:rsid w:val="31E83DC4"/>
    <w:rsid w:val="31EC5663"/>
    <w:rsid w:val="31FD161E"/>
    <w:rsid w:val="32132BEF"/>
    <w:rsid w:val="3216448E"/>
    <w:rsid w:val="3216623C"/>
    <w:rsid w:val="321D3A6E"/>
    <w:rsid w:val="32236BAB"/>
    <w:rsid w:val="323C6B6A"/>
    <w:rsid w:val="32546D64"/>
    <w:rsid w:val="325B2C7D"/>
    <w:rsid w:val="326D1BFC"/>
    <w:rsid w:val="32794A1C"/>
    <w:rsid w:val="327A0EC0"/>
    <w:rsid w:val="32843AED"/>
    <w:rsid w:val="3285678D"/>
    <w:rsid w:val="328622EF"/>
    <w:rsid w:val="32931F82"/>
    <w:rsid w:val="329655CE"/>
    <w:rsid w:val="329B2BE5"/>
    <w:rsid w:val="329B4993"/>
    <w:rsid w:val="329E4165"/>
    <w:rsid w:val="32AC3044"/>
    <w:rsid w:val="32AF043E"/>
    <w:rsid w:val="32BA5834"/>
    <w:rsid w:val="32BF2D77"/>
    <w:rsid w:val="32C02540"/>
    <w:rsid w:val="32C20171"/>
    <w:rsid w:val="32C57C62"/>
    <w:rsid w:val="32C739DA"/>
    <w:rsid w:val="32CB34CA"/>
    <w:rsid w:val="32D22AAA"/>
    <w:rsid w:val="32F522F5"/>
    <w:rsid w:val="32FA5B5D"/>
    <w:rsid w:val="33022C64"/>
    <w:rsid w:val="33114C55"/>
    <w:rsid w:val="331754E6"/>
    <w:rsid w:val="33275B69"/>
    <w:rsid w:val="3337290D"/>
    <w:rsid w:val="334212B2"/>
    <w:rsid w:val="334F1F22"/>
    <w:rsid w:val="336D1AD6"/>
    <w:rsid w:val="33863895"/>
    <w:rsid w:val="3390372F"/>
    <w:rsid w:val="33B10912"/>
    <w:rsid w:val="33B43F5E"/>
    <w:rsid w:val="33E52369"/>
    <w:rsid w:val="33EA3E24"/>
    <w:rsid w:val="33F2678E"/>
    <w:rsid w:val="33F627C9"/>
    <w:rsid w:val="34000F51"/>
    <w:rsid w:val="34012F1B"/>
    <w:rsid w:val="34014CC9"/>
    <w:rsid w:val="3404708F"/>
    <w:rsid w:val="340F388A"/>
    <w:rsid w:val="3410331E"/>
    <w:rsid w:val="341B222F"/>
    <w:rsid w:val="342321FD"/>
    <w:rsid w:val="34272982"/>
    <w:rsid w:val="3431735D"/>
    <w:rsid w:val="343A01EC"/>
    <w:rsid w:val="344312A7"/>
    <w:rsid w:val="344A2B14"/>
    <w:rsid w:val="344E43B3"/>
    <w:rsid w:val="344F012B"/>
    <w:rsid w:val="345A6915"/>
    <w:rsid w:val="345E211C"/>
    <w:rsid w:val="34655258"/>
    <w:rsid w:val="34684E59"/>
    <w:rsid w:val="346911EC"/>
    <w:rsid w:val="34713BFD"/>
    <w:rsid w:val="347E456C"/>
    <w:rsid w:val="349124F1"/>
    <w:rsid w:val="34916002"/>
    <w:rsid w:val="349563FF"/>
    <w:rsid w:val="34A0062A"/>
    <w:rsid w:val="34A264AC"/>
    <w:rsid w:val="34C77CC1"/>
    <w:rsid w:val="34E02B31"/>
    <w:rsid w:val="34F07FF4"/>
    <w:rsid w:val="35042CC3"/>
    <w:rsid w:val="35170C48"/>
    <w:rsid w:val="351729F7"/>
    <w:rsid w:val="351B1DBB"/>
    <w:rsid w:val="3522139B"/>
    <w:rsid w:val="35337105"/>
    <w:rsid w:val="35352E7D"/>
    <w:rsid w:val="35374E47"/>
    <w:rsid w:val="35436878"/>
    <w:rsid w:val="35447564"/>
    <w:rsid w:val="354B444E"/>
    <w:rsid w:val="354D71E1"/>
    <w:rsid w:val="354F0B92"/>
    <w:rsid w:val="35564A6A"/>
    <w:rsid w:val="355E2D37"/>
    <w:rsid w:val="356F3CBC"/>
    <w:rsid w:val="3586192A"/>
    <w:rsid w:val="358E07DF"/>
    <w:rsid w:val="359C2EFC"/>
    <w:rsid w:val="35A95619"/>
    <w:rsid w:val="35AF7A0E"/>
    <w:rsid w:val="35B16284"/>
    <w:rsid w:val="35BF6BEA"/>
    <w:rsid w:val="35E843BA"/>
    <w:rsid w:val="35E87898"/>
    <w:rsid w:val="35FF0CF3"/>
    <w:rsid w:val="360C1968"/>
    <w:rsid w:val="36160F00"/>
    <w:rsid w:val="36174C78"/>
    <w:rsid w:val="36201D7F"/>
    <w:rsid w:val="362A64C1"/>
    <w:rsid w:val="362A675A"/>
    <w:rsid w:val="364A0BAA"/>
    <w:rsid w:val="365B4B65"/>
    <w:rsid w:val="36631C6B"/>
    <w:rsid w:val="36721EAF"/>
    <w:rsid w:val="36810032"/>
    <w:rsid w:val="36841C9D"/>
    <w:rsid w:val="369167D9"/>
    <w:rsid w:val="3694336B"/>
    <w:rsid w:val="36A06A1C"/>
    <w:rsid w:val="36A4475E"/>
    <w:rsid w:val="36B6623F"/>
    <w:rsid w:val="36E52680"/>
    <w:rsid w:val="37076A9B"/>
    <w:rsid w:val="371B42F4"/>
    <w:rsid w:val="372565DF"/>
    <w:rsid w:val="3727713D"/>
    <w:rsid w:val="374101FF"/>
    <w:rsid w:val="376637C1"/>
    <w:rsid w:val="37667C65"/>
    <w:rsid w:val="3772660A"/>
    <w:rsid w:val="377F2AD5"/>
    <w:rsid w:val="378D51F2"/>
    <w:rsid w:val="37904CE2"/>
    <w:rsid w:val="379F6CD3"/>
    <w:rsid w:val="37A147F9"/>
    <w:rsid w:val="37A367C3"/>
    <w:rsid w:val="37AF33BA"/>
    <w:rsid w:val="37BE182B"/>
    <w:rsid w:val="37BE2D67"/>
    <w:rsid w:val="37C036A0"/>
    <w:rsid w:val="37C404E8"/>
    <w:rsid w:val="37D631F9"/>
    <w:rsid w:val="37D90437"/>
    <w:rsid w:val="37E776C2"/>
    <w:rsid w:val="37ED7A3F"/>
    <w:rsid w:val="37F67133"/>
    <w:rsid w:val="380D1E8F"/>
    <w:rsid w:val="382418FE"/>
    <w:rsid w:val="382A2A41"/>
    <w:rsid w:val="3838181B"/>
    <w:rsid w:val="38495371"/>
    <w:rsid w:val="386009E2"/>
    <w:rsid w:val="38654298"/>
    <w:rsid w:val="386B4E07"/>
    <w:rsid w:val="386D1B9B"/>
    <w:rsid w:val="38726196"/>
    <w:rsid w:val="38787C50"/>
    <w:rsid w:val="387A1B39"/>
    <w:rsid w:val="38B22A36"/>
    <w:rsid w:val="38B844F1"/>
    <w:rsid w:val="38CA0C4A"/>
    <w:rsid w:val="38D97FC3"/>
    <w:rsid w:val="38E15F1D"/>
    <w:rsid w:val="390414E4"/>
    <w:rsid w:val="3914724D"/>
    <w:rsid w:val="39161217"/>
    <w:rsid w:val="39167469"/>
    <w:rsid w:val="392C27E9"/>
    <w:rsid w:val="392F0EB2"/>
    <w:rsid w:val="39400042"/>
    <w:rsid w:val="395F671A"/>
    <w:rsid w:val="39643D30"/>
    <w:rsid w:val="396C7089"/>
    <w:rsid w:val="397A3554"/>
    <w:rsid w:val="39816349"/>
    <w:rsid w:val="398C68DA"/>
    <w:rsid w:val="39A22AAB"/>
    <w:rsid w:val="39A30427"/>
    <w:rsid w:val="39B8407C"/>
    <w:rsid w:val="39BC1DBE"/>
    <w:rsid w:val="39BF540B"/>
    <w:rsid w:val="39C96289"/>
    <w:rsid w:val="39D76BF8"/>
    <w:rsid w:val="39DA0497"/>
    <w:rsid w:val="39DF3CFF"/>
    <w:rsid w:val="39E34007"/>
    <w:rsid w:val="39E3559D"/>
    <w:rsid w:val="39E3734B"/>
    <w:rsid w:val="39EB26A4"/>
    <w:rsid w:val="3A033549"/>
    <w:rsid w:val="3A0472C2"/>
    <w:rsid w:val="3A103EB8"/>
    <w:rsid w:val="3A19526E"/>
    <w:rsid w:val="3A296D28"/>
    <w:rsid w:val="3A306308"/>
    <w:rsid w:val="3A3A0F35"/>
    <w:rsid w:val="3A437DEA"/>
    <w:rsid w:val="3A563FC1"/>
    <w:rsid w:val="3A647CE4"/>
    <w:rsid w:val="3A6D30B9"/>
    <w:rsid w:val="3A6F5083"/>
    <w:rsid w:val="3A7D77A0"/>
    <w:rsid w:val="3A9846E3"/>
    <w:rsid w:val="3A9D372C"/>
    <w:rsid w:val="3AAC3BE1"/>
    <w:rsid w:val="3AB02D93"/>
    <w:rsid w:val="3AB16704"/>
    <w:rsid w:val="3AB6680E"/>
    <w:rsid w:val="3AD35612"/>
    <w:rsid w:val="3AD849D6"/>
    <w:rsid w:val="3AED7D56"/>
    <w:rsid w:val="3AF865CC"/>
    <w:rsid w:val="3AFF6407"/>
    <w:rsid w:val="3B037579"/>
    <w:rsid w:val="3B0D4DCD"/>
    <w:rsid w:val="3B0E03F8"/>
    <w:rsid w:val="3B1672AC"/>
    <w:rsid w:val="3B1A3241"/>
    <w:rsid w:val="3B2B01CF"/>
    <w:rsid w:val="3B3545CF"/>
    <w:rsid w:val="3B3A0575"/>
    <w:rsid w:val="3B3E6803"/>
    <w:rsid w:val="3B53041E"/>
    <w:rsid w:val="3B5D60A8"/>
    <w:rsid w:val="3B6049CB"/>
    <w:rsid w:val="3B6224F2"/>
    <w:rsid w:val="3B6E533A"/>
    <w:rsid w:val="3B8C3A12"/>
    <w:rsid w:val="3BA15E2F"/>
    <w:rsid w:val="3BB0653C"/>
    <w:rsid w:val="3BBC42F8"/>
    <w:rsid w:val="3BBD3BCC"/>
    <w:rsid w:val="3BBF16F2"/>
    <w:rsid w:val="3BC767F9"/>
    <w:rsid w:val="3BDA29D0"/>
    <w:rsid w:val="3BDF7FE6"/>
    <w:rsid w:val="3BE23632"/>
    <w:rsid w:val="3BEF756B"/>
    <w:rsid w:val="3C0E61D6"/>
    <w:rsid w:val="3C145EE2"/>
    <w:rsid w:val="3C1852A6"/>
    <w:rsid w:val="3C1F2841"/>
    <w:rsid w:val="3C224794"/>
    <w:rsid w:val="3C2679C3"/>
    <w:rsid w:val="3C2E5888"/>
    <w:rsid w:val="3C306D0A"/>
    <w:rsid w:val="3C385A93"/>
    <w:rsid w:val="3C430575"/>
    <w:rsid w:val="3C4E579D"/>
    <w:rsid w:val="3C5F3DF0"/>
    <w:rsid w:val="3C686DAD"/>
    <w:rsid w:val="3C6978B0"/>
    <w:rsid w:val="3C6A7870"/>
    <w:rsid w:val="3C922B13"/>
    <w:rsid w:val="3CA01523"/>
    <w:rsid w:val="3CAB1C76"/>
    <w:rsid w:val="3CB95BEC"/>
    <w:rsid w:val="3CD7758D"/>
    <w:rsid w:val="3CDC62D4"/>
    <w:rsid w:val="3CDE029E"/>
    <w:rsid w:val="3CF61143"/>
    <w:rsid w:val="3CFB0E50"/>
    <w:rsid w:val="3D0C4E0B"/>
    <w:rsid w:val="3D163594"/>
    <w:rsid w:val="3D167A38"/>
    <w:rsid w:val="3D181988"/>
    <w:rsid w:val="3D2263DC"/>
    <w:rsid w:val="3D2C2DB7"/>
    <w:rsid w:val="3D42082D"/>
    <w:rsid w:val="3D445624"/>
    <w:rsid w:val="3D4F6AA6"/>
    <w:rsid w:val="3D595BDD"/>
    <w:rsid w:val="3D5F318D"/>
    <w:rsid w:val="3D74475E"/>
    <w:rsid w:val="3D7E738B"/>
    <w:rsid w:val="3D84116E"/>
    <w:rsid w:val="3D9236E4"/>
    <w:rsid w:val="3DB159B2"/>
    <w:rsid w:val="3DBD7EB3"/>
    <w:rsid w:val="3DBF3C2B"/>
    <w:rsid w:val="3DD11BB1"/>
    <w:rsid w:val="3DD82F3F"/>
    <w:rsid w:val="3DE10157"/>
    <w:rsid w:val="3DE74F30"/>
    <w:rsid w:val="3DEC0798"/>
    <w:rsid w:val="3DEE2762"/>
    <w:rsid w:val="3DEF5D3E"/>
    <w:rsid w:val="3DF338D5"/>
    <w:rsid w:val="3E0E070F"/>
    <w:rsid w:val="3E2241BA"/>
    <w:rsid w:val="3E2A5C68"/>
    <w:rsid w:val="3E3143FD"/>
    <w:rsid w:val="3E4573F0"/>
    <w:rsid w:val="3E4B345B"/>
    <w:rsid w:val="3E595E2E"/>
    <w:rsid w:val="3E5F0F6A"/>
    <w:rsid w:val="3E7E5894"/>
    <w:rsid w:val="3E834C59"/>
    <w:rsid w:val="3E8F1850"/>
    <w:rsid w:val="3E91360D"/>
    <w:rsid w:val="3E9C21BE"/>
    <w:rsid w:val="3EA80B63"/>
    <w:rsid w:val="3EAD617A"/>
    <w:rsid w:val="3EBA2645"/>
    <w:rsid w:val="3EF67B4D"/>
    <w:rsid w:val="3F081602"/>
    <w:rsid w:val="3F0907D0"/>
    <w:rsid w:val="3F1E0E25"/>
    <w:rsid w:val="3F22668A"/>
    <w:rsid w:val="3F23468E"/>
    <w:rsid w:val="3F2A1578"/>
    <w:rsid w:val="3F672B2D"/>
    <w:rsid w:val="3F7D3D9E"/>
    <w:rsid w:val="3F8769CB"/>
    <w:rsid w:val="3FB11C9A"/>
    <w:rsid w:val="3FBA19D1"/>
    <w:rsid w:val="3FC45529"/>
    <w:rsid w:val="3FD21A71"/>
    <w:rsid w:val="3FD37E62"/>
    <w:rsid w:val="3FEA0D08"/>
    <w:rsid w:val="3FFB4CC3"/>
    <w:rsid w:val="3FFC18FC"/>
    <w:rsid w:val="3FFF3A02"/>
    <w:rsid w:val="40077B0C"/>
    <w:rsid w:val="400E0E9A"/>
    <w:rsid w:val="400F0A42"/>
    <w:rsid w:val="40251D40"/>
    <w:rsid w:val="402B4A0B"/>
    <w:rsid w:val="4033460D"/>
    <w:rsid w:val="403B7DDB"/>
    <w:rsid w:val="404B5C4A"/>
    <w:rsid w:val="404C46A3"/>
    <w:rsid w:val="404D19C2"/>
    <w:rsid w:val="40550877"/>
    <w:rsid w:val="40591A3B"/>
    <w:rsid w:val="40610FCA"/>
    <w:rsid w:val="40662A84"/>
    <w:rsid w:val="40694322"/>
    <w:rsid w:val="406A5DDB"/>
    <w:rsid w:val="407A110F"/>
    <w:rsid w:val="40953369"/>
    <w:rsid w:val="40980764"/>
    <w:rsid w:val="40AA0BC3"/>
    <w:rsid w:val="40CE4185"/>
    <w:rsid w:val="40D519B8"/>
    <w:rsid w:val="40E67721"/>
    <w:rsid w:val="40FE34AB"/>
    <w:rsid w:val="411029F0"/>
    <w:rsid w:val="411430A4"/>
    <w:rsid w:val="4114428E"/>
    <w:rsid w:val="41197AF6"/>
    <w:rsid w:val="411D3227"/>
    <w:rsid w:val="411E335F"/>
    <w:rsid w:val="41297BBD"/>
    <w:rsid w:val="413C37E5"/>
    <w:rsid w:val="41536C1F"/>
    <w:rsid w:val="41590859"/>
    <w:rsid w:val="41650F8E"/>
    <w:rsid w:val="41656898"/>
    <w:rsid w:val="416B7C26"/>
    <w:rsid w:val="418103E9"/>
    <w:rsid w:val="418856AD"/>
    <w:rsid w:val="41886A2A"/>
    <w:rsid w:val="41894625"/>
    <w:rsid w:val="418A6965"/>
    <w:rsid w:val="4191768D"/>
    <w:rsid w:val="41A01FC6"/>
    <w:rsid w:val="41AA4BF2"/>
    <w:rsid w:val="41AE46E3"/>
    <w:rsid w:val="41B415CD"/>
    <w:rsid w:val="41CB43D7"/>
    <w:rsid w:val="41CE268F"/>
    <w:rsid w:val="41D63C39"/>
    <w:rsid w:val="41E225DE"/>
    <w:rsid w:val="41F73425"/>
    <w:rsid w:val="41FF0A9A"/>
    <w:rsid w:val="42097B6B"/>
    <w:rsid w:val="420F4A55"/>
    <w:rsid w:val="421107CE"/>
    <w:rsid w:val="42251667"/>
    <w:rsid w:val="422A188F"/>
    <w:rsid w:val="42366486"/>
    <w:rsid w:val="423821FE"/>
    <w:rsid w:val="427A6373"/>
    <w:rsid w:val="427D180C"/>
    <w:rsid w:val="427D5E63"/>
    <w:rsid w:val="427E7757"/>
    <w:rsid w:val="427F1BDB"/>
    <w:rsid w:val="42997C24"/>
    <w:rsid w:val="42AC04F6"/>
    <w:rsid w:val="42B55CBC"/>
    <w:rsid w:val="42CA25B3"/>
    <w:rsid w:val="42F04887"/>
    <w:rsid w:val="42FE6FA4"/>
    <w:rsid w:val="43010842"/>
    <w:rsid w:val="43140575"/>
    <w:rsid w:val="43195B8C"/>
    <w:rsid w:val="4338369B"/>
    <w:rsid w:val="433C187A"/>
    <w:rsid w:val="4345037B"/>
    <w:rsid w:val="43525542"/>
    <w:rsid w:val="43615785"/>
    <w:rsid w:val="436D27E1"/>
    <w:rsid w:val="43784FA8"/>
    <w:rsid w:val="43851473"/>
    <w:rsid w:val="43880F63"/>
    <w:rsid w:val="43A044FF"/>
    <w:rsid w:val="43A15B81"/>
    <w:rsid w:val="43B35FE0"/>
    <w:rsid w:val="43B6162D"/>
    <w:rsid w:val="43B72C56"/>
    <w:rsid w:val="43C71A8C"/>
    <w:rsid w:val="43C755E8"/>
    <w:rsid w:val="43CA3C9D"/>
    <w:rsid w:val="43CC2BFE"/>
    <w:rsid w:val="43CF6B92"/>
    <w:rsid w:val="43D61CCF"/>
    <w:rsid w:val="43D67013"/>
    <w:rsid w:val="43DD4E0B"/>
    <w:rsid w:val="43EC504E"/>
    <w:rsid w:val="43EF4B3E"/>
    <w:rsid w:val="44095C00"/>
    <w:rsid w:val="441647C1"/>
    <w:rsid w:val="441920D1"/>
    <w:rsid w:val="44290050"/>
    <w:rsid w:val="442B5350"/>
    <w:rsid w:val="442C18EF"/>
    <w:rsid w:val="4440539A"/>
    <w:rsid w:val="44406DAA"/>
    <w:rsid w:val="444924A1"/>
    <w:rsid w:val="44494453"/>
    <w:rsid w:val="44496945"/>
    <w:rsid w:val="444F0847"/>
    <w:rsid w:val="445B21D4"/>
    <w:rsid w:val="44615A3C"/>
    <w:rsid w:val="446E1F07"/>
    <w:rsid w:val="44760DBC"/>
    <w:rsid w:val="447A6AFE"/>
    <w:rsid w:val="44896D41"/>
    <w:rsid w:val="44915BF6"/>
    <w:rsid w:val="44A21BB1"/>
    <w:rsid w:val="44AB4F09"/>
    <w:rsid w:val="44BC0EC5"/>
    <w:rsid w:val="44CE29A6"/>
    <w:rsid w:val="44D206E8"/>
    <w:rsid w:val="44D37FBC"/>
    <w:rsid w:val="45056E81"/>
    <w:rsid w:val="45181E73"/>
    <w:rsid w:val="4518619A"/>
    <w:rsid w:val="451C0B6B"/>
    <w:rsid w:val="45490368"/>
    <w:rsid w:val="454F1D39"/>
    <w:rsid w:val="45505B10"/>
    <w:rsid w:val="455455A1"/>
    <w:rsid w:val="45662D6A"/>
    <w:rsid w:val="457F1EF2"/>
    <w:rsid w:val="459260C9"/>
    <w:rsid w:val="459933EC"/>
    <w:rsid w:val="45A71B75"/>
    <w:rsid w:val="45A8769B"/>
    <w:rsid w:val="45B82804"/>
    <w:rsid w:val="45C81AEB"/>
    <w:rsid w:val="45FA2938"/>
    <w:rsid w:val="460A5C60"/>
    <w:rsid w:val="460D74FE"/>
    <w:rsid w:val="460F3973"/>
    <w:rsid w:val="462E5DF2"/>
    <w:rsid w:val="462F56C6"/>
    <w:rsid w:val="463F1DAD"/>
    <w:rsid w:val="464A0752"/>
    <w:rsid w:val="4651388E"/>
    <w:rsid w:val="46640D69"/>
    <w:rsid w:val="4669507C"/>
    <w:rsid w:val="46957C1F"/>
    <w:rsid w:val="46A43251"/>
    <w:rsid w:val="46A95479"/>
    <w:rsid w:val="46BB51AC"/>
    <w:rsid w:val="46BC33FE"/>
    <w:rsid w:val="46BE5EF9"/>
    <w:rsid w:val="46C73B51"/>
    <w:rsid w:val="46D63D94"/>
    <w:rsid w:val="46E464B1"/>
    <w:rsid w:val="46F74436"/>
    <w:rsid w:val="46FE3A16"/>
    <w:rsid w:val="471342FC"/>
    <w:rsid w:val="47176886"/>
    <w:rsid w:val="4723347D"/>
    <w:rsid w:val="47280A93"/>
    <w:rsid w:val="47290367"/>
    <w:rsid w:val="47332F94"/>
    <w:rsid w:val="47460F19"/>
    <w:rsid w:val="476F4F18"/>
    <w:rsid w:val="477A0434"/>
    <w:rsid w:val="47941C85"/>
    <w:rsid w:val="479E6FA7"/>
    <w:rsid w:val="47A105BD"/>
    <w:rsid w:val="47A65E5C"/>
    <w:rsid w:val="47AD0F98"/>
    <w:rsid w:val="47B02837"/>
    <w:rsid w:val="47BA5463"/>
    <w:rsid w:val="47BC11DC"/>
    <w:rsid w:val="47CA7D9C"/>
    <w:rsid w:val="47D44777"/>
    <w:rsid w:val="47DD7AD0"/>
    <w:rsid w:val="47E04ECA"/>
    <w:rsid w:val="47E16708"/>
    <w:rsid w:val="47ED3A8B"/>
    <w:rsid w:val="47ED5839"/>
    <w:rsid w:val="47F210A1"/>
    <w:rsid w:val="47FB7F56"/>
    <w:rsid w:val="480A080B"/>
    <w:rsid w:val="481608EC"/>
    <w:rsid w:val="48384D06"/>
    <w:rsid w:val="483B2A48"/>
    <w:rsid w:val="483B7AEA"/>
    <w:rsid w:val="48671147"/>
    <w:rsid w:val="487330B4"/>
    <w:rsid w:val="487D6BBD"/>
    <w:rsid w:val="488937B4"/>
    <w:rsid w:val="48AE6D76"/>
    <w:rsid w:val="48BA1BBF"/>
    <w:rsid w:val="48BA272B"/>
    <w:rsid w:val="48BF0F83"/>
    <w:rsid w:val="48CA7928"/>
    <w:rsid w:val="48D668BC"/>
    <w:rsid w:val="490746D8"/>
    <w:rsid w:val="490C7F41"/>
    <w:rsid w:val="49261002"/>
    <w:rsid w:val="492F6EEB"/>
    <w:rsid w:val="49307D61"/>
    <w:rsid w:val="49431BB4"/>
    <w:rsid w:val="49465B45"/>
    <w:rsid w:val="49543DC1"/>
    <w:rsid w:val="495711BC"/>
    <w:rsid w:val="498D2E30"/>
    <w:rsid w:val="49957F36"/>
    <w:rsid w:val="49975A5C"/>
    <w:rsid w:val="499A379E"/>
    <w:rsid w:val="49B94735"/>
    <w:rsid w:val="49BA510F"/>
    <w:rsid w:val="49CF169A"/>
    <w:rsid w:val="49ED38CE"/>
    <w:rsid w:val="49F15983"/>
    <w:rsid w:val="4A0155CC"/>
    <w:rsid w:val="4A0F2CAA"/>
    <w:rsid w:val="4A275494"/>
    <w:rsid w:val="4A370FED"/>
    <w:rsid w:val="4A3B288C"/>
    <w:rsid w:val="4A4060F4"/>
    <w:rsid w:val="4A7706DB"/>
    <w:rsid w:val="4A7D4C52"/>
    <w:rsid w:val="4A875AD1"/>
    <w:rsid w:val="4A946440"/>
    <w:rsid w:val="4A9621B8"/>
    <w:rsid w:val="4AA06B93"/>
    <w:rsid w:val="4AAF6DD6"/>
    <w:rsid w:val="4AC00FE3"/>
    <w:rsid w:val="4AC960E9"/>
    <w:rsid w:val="4ACF6009"/>
    <w:rsid w:val="4ADF76BB"/>
    <w:rsid w:val="4AE44CD1"/>
    <w:rsid w:val="4AE7656F"/>
    <w:rsid w:val="4AEC627C"/>
    <w:rsid w:val="4B0626F2"/>
    <w:rsid w:val="4B0B61AD"/>
    <w:rsid w:val="4B0C4228"/>
    <w:rsid w:val="4B221C9D"/>
    <w:rsid w:val="4B2B6DA4"/>
    <w:rsid w:val="4B313C8F"/>
    <w:rsid w:val="4B3612A5"/>
    <w:rsid w:val="4B3B277B"/>
    <w:rsid w:val="4B4614E8"/>
    <w:rsid w:val="4B46773A"/>
    <w:rsid w:val="4B4E2A92"/>
    <w:rsid w:val="4B693428"/>
    <w:rsid w:val="4B751DCD"/>
    <w:rsid w:val="4B7F0E9E"/>
    <w:rsid w:val="4B9761E7"/>
    <w:rsid w:val="4BA3693A"/>
    <w:rsid w:val="4BB84D1D"/>
    <w:rsid w:val="4BD44D46"/>
    <w:rsid w:val="4BE233FC"/>
    <w:rsid w:val="4BE40D01"/>
    <w:rsid w:val="4BE8259F"/>
    <w:rsid w:val="4BEF593C"/>
    <w:rsid w:val="4C003D8D"/>
    <w:rsid w:val="4C1E4213"/>
    <w:rsid w:val="4C4F0870"/>
    <w:rsid w:val="4C614339"/>
    <w:rsid w:val="4C687947"/>
    <w:rsid w:val="4C6D7DC6"/>
    <w:rsid w:val="4C6E2D5E"/>
    <w:rsid w:val="4C765DFD"/>
    <w:rsid w:val="4CA62A9F"/>
    <w:rsid w:val="4CBB689F"/>
    <w:rsid w:val="4CD314A1"/>
    <w:rsid w:val="4CD82614"/>
    <w:rsid w:val="4CDD7C2A"/>
    <w:rsid w:val="4CE30FB8"/>
    <w:rsid w:val="4CFC309A"/>
    <w:rsid w:val="4CFF51B1"/>
    <w:rsid w:val="4D031B4B"/>
    <w:rsid w:val="4D0C6761"/>
    <w:rsid w:val="4D153ECB"/>
    <w:rsid w:val="4D186EB4"/>
    <w:rsid w:val="4D1B0752"/>
    <w:rsid w:val="4D3006A2"/>
    <w:rsid w:val="4D4642C1"/>
    <w:rsid w:val="4D52686A"/>
    <w:rsid w:val="4D5819A6"/>
    <w:rsid w:val="4D5A571F"/>
    <w:rsid w:val="4D693BB4"/>
    <w:rsid w:val="4D715FD2"/>
    <w:rsid w:val="4D7A31B0"/>
    <w:rsid w:val="4D814A59"/>
    <w:rsid w:val="4D8B3F74"/>
    <w:rsid w:val="4D902EEE"/>
    <w:rsid w:val="4D97427D"/>
    <w:rsid w:val="4D986247"/>
    <w:rsid w:val="4DA644C0"/>
    <w:rsid w:val="4DA81276"/>
    <w:rsid w:val="4DA92202"/>
    <w:rsid w:val="4DB12E65"/>
    <w:rsid w:val="4DBA7F74"/>
    <w:rsid w:val="4DD059E1"/>
    <w:rsid w:val="4DD3102D"/>
    <w:rsid w:val="4DDC4386"/>
    <w:rsid w:val="4E30022D"/>
    <w:rsid w:val="4E30224D"/>
    <w:rsid w:val="4E3441C2"/>
    <w:rsid w:val="4E3E2D7A"/>
    <w:rsid w:val="4E451F2B"/>
    <w:rsid w:val="4E473EF5"/>
    <w:rsid w:val="4E4A3EC7"/>
    <w:rsid w:val="4E52289A"/>
    <w:rsid w:val="4E6600F3"/>
    <w:rsid w:val="4E685C19"/>
    <w:rsid w:val="4E6F0D56"/>
    <w:rsid w:val="4E712D20"/>
    <w:rsid w:val="4E766588"/>
    <w:rsid w:val="4E850579"/>
    <w:rsid w:val="4E9F71CD"/>
    <w:rsid w:val="4EA36C51"/>
    <w:rsid w:val="4EB1136E"/>
    <w:rsid w:val="4EC015B1"/>
    <w:rsid w:val="4ECC6563"/>
    <w:rsid w:val="4EEF1E97"/>
    <w:rsid w:val="4EF456FF"/>
    <w:rsid w:val="4F09543A"/>
    <w:rsid w:val="4F0A0A7E"/>
    <w:rsid w:val="4F1A33B7"/>
    <w:rsid w:val="4F1B712F"/>
    <w:rsid w:val="4F1C0AA6"/>
    <w:rsid w:val="4F2002A2"/>
    <w:rsid w:val="4F245FE4"/>
    <w:rsid w:val="4F4915A7"/>
    <w:rsid w:val="4F4D4874"/>
    <w:rsid w:val="4F585C8E"/>
    <w:rsid w:val="4F5F526E"/>
    <w:rsid w:val="4F624D5E"/>
    <w:rsid w:val="4F6B58A1"/>
    <w:rsid w:val="4F6E2D92"/>
    <w:rsid w:val="4F7D56F4"/>
    <w:rsid w:val="4F882826"/>
    <w:rsid w:val="4F894099"/>
    <w:rsid w:val="4F895E47"/>
    <w:rsid w:val="4F902D3A"/>
    <w:rsid w:val="4F9D5D96"/>
    <w:rsid w:val="4FA47125"/>
    <w:rsid w:val="4FB50C07"/>
    <w:rsid w:val="4FDE2637"/>
    <w:rsid w:val="4FE03A2B"/>
    <w:rsid w:val="4FE17A31"/>
    <w:rsid w:val="4FFA4F97"/>
    <w:rsid w:val="4FFE763F"/>
    <w:rsid w:val="4FFF25AD"/>
    <w:rsid w:val="500876B4"/>
    <w:rsid w:val="501A5E16"/>
    <w:rsid w:val="502B6EFE"/>
    <w:rsid w:val="503E4E84"/>
    <w:rsid w:val="504F7091"/>
    <w:rsid w:val="5099030C"/>
    <w:rsid w:val="50A11FE0"/>
    <w:rsid w:val="50B74C36"/>
    <w:rsid w:val="50CA6717"/>
    <w:rsid w:val="50D17AA6"/>
    <w:rsid w:val="50D650BC"/>
    <w:rsid w:val="50F25C6E"/>
    <w:rsid w:val="50F47C38"/>
    <w:rsid w:val="50F87728"/>
    <w:rsid w:val="50F96FFC"/>
    <w:rsid w:val="51064B1E"/>
    <w:rsid w:val="510A120A"/>
    <w:rsid w:val="510D2AA8"/>
    <w:rsid w:val="511E4CB5"/>
    <w:rsid w:val="512C5624"/>
    <w:rsid w:val="51334917"/>
    <w:rsid w:val="51426BF5"/>
    <w:rsid w:val="514F1402"/>
    <w:rsid w:val="51585DA9"/>
    <w:rsid w:val="516D5BBB"/>
    <w:rsid w:val="516E1798"/>
    <w:rsid w:val="517174DB"/>
    <w:rsid w:val="518C66C9"/>
    <w:rsid w:val="51935AB4"/>
    <w:rsid w:val="519A433C"/>
    <w:rsid w:val="519F7BA4"/>
    <w:rsid w:val="51A927D1"/>
    <w:rsid w:val="51AE7DE7"/>
    <w:rsid w:val="51B760F6"/>
    <w:rsid w:val="51C82784"/>
    <w:rsid w:val="51CE0489"/>
    <w:rsid w:val="51D11D27"/>
    <w:rsid w:val="51D93105"/>
    <w:rsid w:val="51F06651"/>
    <w:rsid w:val="52067C23"/>
    <w:rsid w:val="520D12F9"/>
    <w:rsid w:val="520E0886"/>
    <w:rsid w:val="521340EE"/>
    <w:rsid w:val="522400A9"/>
    <w:rsid w:val="52304CA0"/>
    <w:rsid w:val="5233653E"/>
    <w:rsid w:val="52572AAC"/>
    <w:rsid w:val="525A1D1D"/>
    <w:rsid w:val="527A572D"/>
    <w:rsid w:val="529214B7"/>
    <w:rsid w:val="52C75604"/>
    <w:rsid w:val="52CF6267"/>
    <w:rsid w:val="52E837CD"/>
    <w:rsid w:val="52EB0BC7"/>
    <w:rsid w:val="52F12681"/>
    <w:rsid w:val="53081779"/>
    <w:rsid w:val="531C4DAC"/>
    <w:rsid w:val="53213917"/>
    <w:rsid w:val="5325057D"/>
    <w:rsid w:val="532F31A9"/>
    <w:rsid w:val="53346A12"/>
    <w:rsid w:val="533F163E"/>
    <w:rsid w:val="53400F13"/>
    <w:rsid w:val="53530C46"/>
    <w:rsid w:val="535E75EB"/>
    <w:rsid w:val="5367649F"/>
    <w:rsid w:val="536C5EBC"/>
    <w:rsid w:val="53733096"/>
    <w:rsid w:val="5382152B"/>
    <w:rsid w:val="538B66AA"/>
    <w:rsid w:val="538C7084"/>
    <w:rsid w:val="53901E9A"/>
    <w:rsid w:val="53A019B1"/>
    <w:rsid w:val="53BC2C8F"/>
    <w:rsid w:val="53D8114B"/>
    <w:rsid w:val="53F52FD5"/>
    <w:rsid w:val="53FA37B7"/>
    <w:rsid w:val="53FD6E04"/>
    <w:rsid w:val="54007F5D"/>
    <w:rsid w:val="54136627"/>
    <w:rsid w:val="542076D2"/>
    <w:rsid w:val="54297BF9"/>
    <w:rsid w:val="542C1497"/>
    <w:rsid w:val="54307E41"/>
    <w:rsid w:val="543C3DD0"/>
    <w:rsid w:val="543D5452"/>
    <w:rsid w:val="543E18F6"/>
    <w:rsid w:val="54507259"/>
    <w:rsid w:val="545253A1"/>
    <w:rsid w:val="5455279C"/>
    <w:rsid w:val="546E5C98"/>
    <w:rsid w:val="547A48F8"/>
    <w:rsid w:val="547C41CC"/>
    <w:rsid w:val="547F5A6B"/>
    <w:rsid w:val="548136DA"/>
    <w:rsid w:val="54815C87"/>
    <w:rsid w:val="548F4E05"/>
    <w:rsid w:val="549C03CB"/>
    <w:rsid w:val="54A61249"/>
    <w:rsid w:val="54C82B23"/>
    <w:rsid w:val="54CB0E8F"/>
    <w:rsid w:val="54D04518"/>
    <w:rsid w:val="54D538DD"/>
    <w:rsid w:val="54E67898"/>
    <w:rsid w:val="54F226E1"/>
    <w:rsid w:val="54F559EA"/>
    <w:rsid w:val="55061CE8"/>
    <w:rsid w:val="550B72FE"/>
    <w:rsid w:val="550F6DEF"/>
    <w:rsid w:val="55193A96"/>
    <w:rsid w:val="55195EBF"/>
    <w:rsid w:val="55222FC6"/>
    <w:rsid w:val="552A3C28"/>
    <w:rsid w:val="553A544A"/>
    <w:rsid w:val="553B6573"/>
    <w:rsid w:val="55562C6F"/>
    <w:rsid w:val="555962BC"/>
    <w:rsid w:val="555B0286"/>
    <w:rsid w:val="555F460E"/>
    <w:rsid w:val="55852A7C"/>
    <w:rsid w:val="558D768C"/>
    <w:rsid w:val="55933E69"/>
    <w:rsid w:val="559A1FC3"/>
    <w:rsid w:val="55AE2AAB"/>
    <w:rsid w:val="55B61960"/>
    <w:rsid w:val="55B72479"/>
    <w:rsid w:val="55BD4A9D"/>
    <w:rsid w:val="55C220B3"/>
    <w:rsid w:val="55C67DF5"/>
    <w:rsid w:val="55EC35D4"/>
    <w:rsid w:val="55EE10FA"/>
    <w:rsid w:val="55F65CBA"/>
    <w:rsid w:val="55FA7A9F"/>
    <w:rsid w:val="561D2A3F"/>
    <w:rsid w:val="56204B57"/>
    <w:rsid w:val="5630526E"/>
    <w:rsid w:val="563113AD"/>
    <w:rsid w:val="56322D89"/>
    <w:rsid w:val="563A433F"/>
    <w:rsid w:val="563E5BC8"/>
    <w:rsid w:val="56431446"/>
    <w:rsid w:val="564725B8"/>
    <w:rsid w:val="564D05DF"/>
    <w:rsid w:val="56596943"/>
    <w:rsid w:val="56660C90"/>
    <w:rsid w:val="566B274A"/>
    <w:rsid w:val="568630E0"/>
    <w:rsid w:val="56933A4F"/>
    <w:rsid w:val="56955A19"/>
    <w:rsid w:val="569577C7"/>
    <w:rsid w:val="56A731E6"/>
    <w:rsid w:val="56AB69D0"/>
    <w:rsid w:val="56BA5480"/>
    <w:rsid w:val="56BE0ACC"/>
    <w:rsid w:val="56C55AE9"/>
    <w:rsid w:val="56C67981"/>
    <w:rsid w:val="56C854A7"/>
    <w:rsid w:val="56E944F1"/>
    <w:rsid w:val="56F269C8"/>
    <w:rsid w:val="56FA587C"/>
    <w:rsid w:val="56FA762A"/>
    <w:rsid w:val="57203535"/>
    <w:rsid w:val="57233025"/>
    <w:rsid w:val="572F5526"/>
    <w:rsid w:val="573174F0"/>
    <w:rsid w:val="574F7976"/>
    <w:rsid w:val="576D027D"/>
    <w:rsid w:val="579161E1"/>
    <w:rsid w:val="57946598"/>
    <w:rsid w:val="57A30E25"/>
    <w:rsid w:val="57AE1ECF"/>
    <w:rsid w:val="57B24890"/>
    <w:rsid w:val="57BD0D84"/>
    <w:rsid w:val="57CA4140"/>
    <w:rsid w:val="57D32355"/>
    <w:rsid w:val="57D70067"/>
    <w:rsid w:val="57D85BBE"/>
    <w:rsid w:val="57E0285A"/>
    <w:rsid w:val="57EC36C4"/>
    <w:rsid w:val="57F30C49"/>
    <w:rsid w:val="57F86260"/>
    <w:rsid w:val="57FB5D50"/>
    <w:rsid w:val="580C1D0B"/>
    <w:rsid w:val="580E7831"/>
    <w:rsid w:val="581035A9"/>
    <w:rsid w:val="581F37ED"/>
    <w:rsid w:val="58217D6B"/>
    <w:rsid w:val="58237065"/>
    <w:rsid w:val="582A3F3F"/>
    <w:rsid w:val="582D6EF7"/>
    <w:rsid w:val="584375EF"/>
    <w:rsid w:val="585B1CB5"/>
    <w:rsid w:val="585F1E3B"/>
    <w:rsid w:val="587F072F"/>
    <w:rsid w:val="58825B29"/>
    <w:rsid w:val="5886386C"/>
    <w:rsid w:val="58A27F7A"/>
    <w:rsid w:val="58A91308"/>
    <w:rsid w:val="58AB6E2E"/>
    <w:rsid w:val="58B32187"/>
    <w:rsid w:val="58B8089A"/>
    <w:rsid w:val="58BE1257"/>
    <w:rsid w:val="58C919AA"/>
    <w:rsid w:val="58EA204C"/>
    <w:rsid w:val="58ED5699"/>
    <w:rsid w:val="58FC1D80"/>
    <w:rsid w:val="59070080"/>
    <w:rsid w:val="5913055A"/>
    <w:rsid w:val="5915074C"/>
    <w:rsid w:val="591C7D2C"/>
    <w:rsid w:val="592A2449"/>
    <w:rsid w:val="59396B30"/>
    <w:rsid w:val="593B28A8"/>
    <w:rsid w:val="594E0714"/>
    <w:rsid w:val="59502CB8"/>
    <w:rsid w:val="59564E86"/>
    <w:rsid w:val="595B5175"/>
    <w:rsid w:val="595B6AA6"/>
    <w:rsid w:val="59722042"/>
    <w:rsid w:val="597D4EA5"/>
    <w:rsid w:val="597E2D83"/>
    <w:rsid w:val="59815DE1"/>
    <w:rsid w:val="59A3044D"/>
    <w:rsid w:val="59A55F73"/>
    <w:rsid w:val="59A815C0"/>
    <w:rsid w:val="59B2243E"/>
    <w:rsid w:val="59B470DD"/>
    <w:rsid w:val="59B91A1F"/>
    <w:rsid w:val="59C77C98"/>
    <w:rsid w:val="59CF1242"/>
    <w:rsid w:val="59D27B1C"/>
    <w:rsid w:val="59DB3743"/>
    <w:rsid w:val="59E720E8"/>
    <w:rsid w:val="59E7658C"/>
    <w:rsid w:val="59FA62BF"/>
    <w:rsid w:val="5A026F22"/>
    <w:rsid w:val="5A0507C0"/>
    <w:rsid w:val="5A0D79FC"/>
    <w:rsid w:val="5A106210"/>
    <w:rsid w:val="5A1F5D26"/>
    <w:rsid w:val="5A276988"/>
    <w:rsid w:val="5A492DA3"/>
    <w:rsid w:val="5A581238"/>
    <w:rsid w:val="5A647BDD"/>
    <w:rsid w:val="5A6F20DD"/>
    <w:rsid w:val="5A706581"/>
    <w:rsid w:val="5A807D1E"/>
    <w:rsid w:val="5A987886"/>
    <w:rsid w:val="5AA004E9"/>
    <w:rsid w:val="5ABE7E1B"/>
    <w:rsid w:val="5AC33ACC"/>
    <w:rsid w:val="5ACC7530"/>
    <w:rsid w:val="5ACD5782"/>
    <w:rsid w:val="5AD21A31"/>
    <w:rsid w:val="5AD92ECE"/>
    <w:rsid w:val="5AE1122D"/>
    <w:rsid w:val="5AE605F2"/>
    <w:rsid w:val="5AEC41CD"/>
    <w:rsid w:val="5AF34ABD"/>
    <w:rsid w:val="5AFC1BC3"/>
    <w:rsid w:val="5B0311A3"/>
    <w:rsid w:val="5B127639"/>
    <w:rsid w:val="5B150ED7"/>
    <w:rsid w:val="5B1708CA"/>
    <w:rsid w:val="5B181D5A"/>
    <w:rsid w:val="5B1C2265"/>
    <w:rsid w:val="5B307ABF"/>
    <w:rsid w:val="5B370E4D"/>
    <w:rsid w:val="5B503CBD"/>
    <w:rsid w:val="5B6634E0"/>
    <w:rsid w:val="5B694D7F"/>
    <w:rsid w:val="5B6E31A5"/>
    <w:rsid w:val="5B7200D7"/>
    <w:rsid w:val="5B750EEC"/>
    <w:rsid w:val="5B982FBB"/>
    <w:rsid w:val="5BA557F4"/>
    <w:rsid w:val="5BB5025A"/>
    <w:rsid w:val="5BC14BBB"/>
    <w:rsid w:val="5BC22E0D"/>
    <w:rsid w:val="5BD4669C"/>
    <w:rsid w:val="5C013209"/>
    <w:rsid w:val="5C025E29"/>
    <w:rsid w:val="5C073450"/>
    <w:rsid w:val="5C0F47B3"/>
    <w:rsid w:val="5C115B42"/>
    <w:rsid w:val="5C2238AB"/>
    <w:rsid w:val="5C313AEE"/>
    <w:rsid w:val="5C3655A9"/>
    <w:rsid w:val="5C602626"/>
    <w:rsid w:val="5C642116"/>
    <w:rsid w:val="5C7165E1"/>
    <w:rsid w:val="5C741C2D"/>
    <w:rsid w:val="5C78171D"/>
    <w:rsid w:val="5C7E4CC3"/>
    <w:rsid w:val="5C9A78E6"/>
    <w:rsid w:val="5CA644DC"/>
    <w:rsid w:val="5CB0535B"/>
    <w:rsid w:val="5CC22998"/>
    <w:rsid w:val="5CD1280D"/>
    <w:rsid w:val="5CD56B70"/>
    <w:rsid w:val="5CEB1EEF"/>
    <w:rsid w:val="5CF52D6E"/>
    <w:rsid w:val="5CF72738"/>
    <w:rsid w:val="5CFA7995"/>
    <w:rsid w:val="5D125B74"/>
    <w:rsid w:val="5D1551BE"/>
    <w:rsid w:val="5D467A6D"/>
    <w:rsid w:val="5D647EF4"/>
    <w:rsid w:val="5D706898"/>
    <w:rsid w:val="5D7C348F"/>
    <w:rsid w:val="5D80004F"/>
    <w:rsid w:val="5D804D2D"/>
    <w:rsid w:val="5DAA3B58"/>
    <w:rsid w:val="5DAB78D0"/>
    <w:rsid w:val="5DB32F65"/>
    <w:rsid w:val="5DBF512A"/>
    <w:rsid w:val="5DC015CE"/>
    <w:rsid w:val="5DC6470A"/>
    <w:rsid w:val="5DE057CC"/>
    <w:rsid w:val="5DEB1CA6"/>
    <w:rsid w:val="5DF179D9"/>
    <w:rsid w:val="5E08087F"/>
    <w:rsid w:val="5E0C1675"/>
    <w:rsid w:val="5E127950"/>
    <w:rsid w:val="5E287173"/>
    <w:rsid w:val="5E2A6A47"/>
    <w:rsid w:val="5E31427A"/>
    <w:rsid w:val="5E36363E"/>
    <w:rsid w:val="5E3B2A02"/>
    <w:rsid w:val="5E453881"/>
    <w:rsid w:val="5E504CBB"/>
    <w:rsid w:val="5E5F6487"/>
    <w:rsid w:val="5E622BAC"/>
    <w:rsid w:val="5E630E11"/>
    <w:rsid w:val="5E850121"/>
    <w:rsid w:val="5E8720EC"/>
    <w:rsid w:val="5E8D14AD"/>
    <w:rsid w:val="5E9345EC"/>
    <w:rsid w:val="5E946B4D"/>
    <w:rsid w:val="5E954808"/>
    <w:rsid w:val="5EB033F0"/>
    <w:rsid w:val="5EB32EE1"/>
    <w:rsid w:val="5EB629D1"/>
    <w:rsid w:val="5EB6477F"/>
    <w:rsid w:val="5EBB7FE7"/>
    <w:rsid w:val="5EC92704"/>
    <w:rsid w:val="5ECF75EF"/>
    <w:rsid w:val="5EDA046D"/>
    <w:rsid w:val="5EE266ED"/>
    <w:rsid w:val="5EEF6FA5"/>
    <w:rsid w:val="5EF17565"/>
    <w:rsid w:val="5F047298"/>
    <w:rsid w:val="5F076D88"/>
    <w:rsid w:val="5F0B26B6"/>
    <w:rsid w:val="5F1D65AC"/>
    <w:rsid w:val="5F1F0576"/>
    <w:rsid w:val="5F2A23E4"/>
    <w:rsid w:val="5F357D99"/>
    <w:rsid w:val="5F544E7A"/>
    <w:rsid w:val="5F577D10"/>
    <w:rsid w:val="5F585836"/>
    <w:rsid w:val="5F661D01"/>
    <w:rsid w:val="5F7C7A26"/>
    <w:rsid w:val="5F7F3BF1"/>
    <w:rsid w:val="5F824661"/>
    <w:rsid w:val="5FA97E40"/>
    <w:rsid w:val="5FC1162D"/>
    <w:rsid w:val="5FCA6734"/>
    <w:rsid w:val="5FE86BBA"/>
    <w:rsid w:val="5FED41D0"/>
    <w:rsid w:val="5FF91E73"/>
    <w:rsid w:val="5FFB4B3F"/>
    <w:rsid w:val="60001041"/>
    <w:rsid w:val="60057CBB"/>
    <w:rsid w:val="6009765C"/>
    <w:rsid w:val="600F4147"/>
    <w:rsid w:val="60194FC5"/>
    <w:rsid w:val="60343BAD"/>
    <w:rsid w:val="60365B77"/>
    <w:rsid w:val="603B13E0"/>
    <w:rsid w:val="60651FB9"/>
    <w:rsid w:val="606C77EB"/>
    <w:rsid w:val="6094289E"/>
    <w:rsid w:val="6098413C"/>
    <w:rsid w:val="609B59DA"/>
    <w:rsid w:val="60B60A3B"/>
    <w:rsid w:val="60B62814"/>
    <w:rsid w:val="60B66CB8"/>
    <w:rsid w:val="60CC2038"/>
    <w:rsid w:val="60D23403"/>
    <w:rsid w:val="60D80C3C"/>
    <w:rsid w:val="60DA29A7"/>
    <w:rsid w:val="60DF620F"/>
    <w:rsid w:val="60FD0443"/>
    <w:rsid w:val="60FF589D"/>
    <w:rsid w:val="611F2AAF"/>
    <w:rsid w:val="61291238"/>
    <w:rsid w:val="6129748A"/>
    <w:rsid w:val="61321521"/>
    <w:rsid w:val="61363955"/>
    <w:rsid w:val="614B5652"/>
    <w:rsid w:val="61591C9F"/>
    <w:rsid w:val="61630BEE"/>
    <w:rsid w:val="616801DE"/>
    <w:rsid w:val="616B1851"/>
    <w:rsid w:val="61730705"/>
    <w:rsid w:val="6175447D"/>
    <w:rsid w:val="61842912"/>
    <w:rsid w:val="618B3CA1"/>
    <w:rsid w:val="61954B1F"/>
    <w:rsid w:val="619A1BE1"/>
    <w:rsid w:val="619D39D4"/>
    <w:rsid w:val="619F416F"/>
    <w:rsid w:val="61BF7DEE"/>
    <w:rsid w:val="61C827FF"/>
    <w:rsid w:val="61C947C9"/>
    <w:rsid w:val="61E909C7"/>
    <w:rsid w:val="61ED3E04"/>
    <w:rsid w:val="61F5736C"/>
    <w:rsid w:val="61F71336"/>
    <w:rsid w:val="61F734FF"/>
    <w:rsid w:val="61FA2BD4"/>
    <w:rsid w:val="621B3277"/>
    <w:rsid w:val="621F5ABD"/>
    <w:rsid w:val="622043EF"/>
    <w:rsid w:val="622A34BA"/>
    <w:rsid w:val="62363666"/>
    <w:rsid w:val="62483940"/>
    <w:rsid w:val="62515468"/>
    <w:rsid w:val="625614D2"/>
    <w:rsid w:val="625C563D"/>
    <w:rsid w:val="62614A02"/>
    <w:rsid w:val="62652744"/>
    <w:rsid w:val="626A5FAC"/>
    <w:rsid w:val="626C5880"/>
    <w:rsid w:val="627E3805"/>
    <w:rsid w:val="628C1A7E"/>
    <w:rsid w:val="629B43B7"/>
    <w:rsid w:val="62AF0638"/>
    <w:rsid w:val="62B66AFB"/>
    <w:rsid w:val="62C0797A"/>
    <w:rsid w:val="62CD7D1D"/>
    <w:rsid w:val="62DD3E94"/>
    <w:rsid w:val="62E30FF8"/>
    <w:rsid w:val="63316ACA"/>
    <w:rsid w:val="633816B2"/>
    <w:rsid w:val="634405AB"/>
    <w:rsid w:val="634618F9"/>
    <w:rsid w:val="634A36E8"/>
    <w:rsid w:val="635D166D"/>
    <w:rsid w:val="63765739"/>
    <w:rsid w:val="63782C1A"/>
    <w:rsid w:val="637D1D0F"/>
    <w:rsid w:val="63846BFA"/>
    <w:rsid w:val="638B442C"/>
    <w:rsid w:val="639F57E1"/>
    <w:rsid w:val="63A66B70"/>
    <w:rsid w:val="63B84AF5"/>
    <w:rsid w:val="63C67212"/>
    <w:rsid w:val="63C82F8A"/>
    <w:rsid w:val="63CB4828"/>
    <w:rsid w:val="63CF3EF5"/>
    <w:rsid w:val="63DA4A6C"/>
    <w:rsid w:val="63DC6A36"/>
    <w:rsid w:val="63ED479F"/>
    <w:rsid w:val="63F91396"/>
    <w:rsid w:val="63FA4590"/>
    <w:rsid w:val="641307EF"/>
    <w:rsid w:val="64137F7D"/>
    <w:rsid w:val="643C1282"/>
    <w:rsid w:val="64432611"/>
    <w:rsid w:val="6454612A"/>
    <w:rsid w:val="64634A61"/>
    <w:rsid w:val="646627A3"/>
    <w:rsid w:val="6469057F"/>
    <w:rsid w:val="646E3CD1"/>
    <w:rsid w:val="6488243F"/>
    <w:rsid w:val="649B244D"/>
    <w:rsid w:val="64A04202"/>
    <w:rsid w:val="64A84B6A"/>
    <w:rsid w:val="64AD2180"/>
    <w:rsid w:val="64B96D77"/>
    <w:rsid w:val="64BF164C"/>
    <w:rsid w:val="64CD637E"/>
    <w:rsid w:val="64D43BB1"/>
    <w:rsid w:val="64D4595F"/>
    <w:rsid w:val="650D2C1F"/>
    <w:rsid w:val="65130235"/>
    <w:rsid w:val="6530528B"/>
    <w:rsid w:val="65326240"/>
    <w:rsid w:val="65352EBF"/>
    <w:rsid w:val="653A1C66"/>
    <w:rsid w:val="653B59DE"/>
    <w:rsid w:val="65736F26"/>
    <w:rsid w:val="6582360D"/>
    <w:rsid w:val="65A17F37"/>
    <w:rsid w:val="65A76BCF"/>
    <w:rsid w:val="65A82571"/>
    <w:rsid w:val="65D475B9"/>
    <w:rsid w:val="65DC2D1D"/>
    <w:rsid w:val="65E41BD1"/>
    <w:rsid w:val="65F00576"/>
    <w:rsid w:val="65F75DA9"/>
    <w:rsid w:val="65FF4C5D"/>
    <w:rsid w:val="66012783"/>
    <w:rsid w:val="6609788A"/>
    <w:rsid w:val="661204ED"/>
    <w:rsid w:val="66195D1F"/>
    <w:rsid w:val="661F4CA2"/>
    <w:rsid w:val="663305D1"/>
    <w:rsid w:val="66384703"/>
    <w:rsid w:val="6639016F"/>
    <w:rsid w:val="663F14FE"/>
    <w:rsid w:val="66432D9C"/>
    <w:rsid w:val="66560D21"/>
    <w:rsid w:val="66613222"/>
    <w:rsid w:val="666F3B91"/>
    <w:rsid w:val="66887A48"/>
    <w:rsid w:val="668C608B"/>
    <w:rsid w:val="669245E1"/>
    <w:rsid w:val="669B4986"/>
    <w:rsid w:val="66A355E9"/>
    <w:rsid w:val="66A601B3"/>
    <w:rsid w:val="66AA2E1B"/>
    <w:rsid w:val="66CD2666"/>
    <w:rsid w:val="66D103A8"/>
    <w:rsid w:val="66D47CE8"/>
    <w:rsid w:val="66F347C2"/>
    <w:rsid w:val="670D6F06"/>
    <w:rsid w:val="67177D85"/>
    <w:rsid w:val="67193AFD"/>
    <w:rsid w:val="671958AB"/>
    <w:rsid w:val="671D01A6"/>
    <w:rsid w:val="671D539B"/>
    <w:rsid w:val="67226E55"/>
    <w:rsid w:val="672A5D0A"/>
    <w:rsid w:val="672C1A82"/>
    <w:rsid w:val="673152EA"/>
    <w:rsid w:val="673426E5"/>
    <w:rsid w:val="673646AF"/>
    <w:rsid w:val="674768BC"/>
    <w:rsid w:val="67492634"/>
    <w:rsid w:val="674E1E9C"/>
    <w:rsid w:val="67545BDB"/>
    <w:rsid w:val="67566AFF"/>
    <w:rsid w:val="675F3C06"/>
    <w:rsid w:val="676B07FC"/>
    <w:rsid w:val="676F001B"/>
    <w:rsid w:val="678216A2"/>
    <w:rsid w:val="678C0773"/>
    <w:rsid w:val="679C4231"/>
    <w:rsid w:val="67A41618"/>
    <w:rsid w:val="67A755AC"/>
    <w:rsid w:val="67A94E81"/>
    <w:rsid w:val="67B54588"/>
    <w:rsid w:val="67BA52E0"/>
    <w:rsid w:val="67D57A24"/>
    <w:rsid w:val="67DF4D46"/>
    <w:rsid w:val="67EC1211"/>
    <w:rsid w:val="68180E35"/>
    <w:rsid w:val="681A7B2C"/>
    <w:rsid w:val="68211BBE"/>
    <w:rsid w:val="68212C69"/>
    <w:rsid w:val="68243E7A"/>
    <w:rsid w:val="682E35D8"/>
    <w:rsid w:val="683010FE"/>
    <w:rsid w:val="683926A8"/>
    <w:rsid w:val="68531116"/>
    <w:rsid w:val="68541290"/>
    <w:rsid w:val="687C4343"/>
    <w:rsid w:val="68833924"/>
    <w:rsid w:val="689063CF"/>
    <w:rsid w:val="68A35D74"/>
    <w:rsid w:val="68A85138"/>
    <w:rsid w:val="68AB4C28"/>
    <w:rsid w:val="68B63CF9"/>
    <w:rsid w:val="68C87588"/>
    <w:rsid w:val="68CF6B69"/>
    <w:rsid w:val="68D27036"/>
    <w:rsid w:val="68E71AE5"/>
    <w:rsid w:val="68ED5241"/>
    <w:rsid w:val="68F47416"/>
    <w:rsid w:val="68FB170C"/>
    <w:rsid w:val="68FB795E"/>
    <w:rsid w:val="68FD5D79"/>
    <w:rsid w:val="69004F74"/>
    <w:rsid w:val="69034A64"/>
    <w:rsid w:val="691C1682"/>
    <w:rsid w:val="692E7D33"/>
    <w:rsid w:val="692F13B6"/>
    <w:rsid w:val="694540A3"/>
    <w:rsid w:val="69594684"/>
    <w:rsid w:val="695D5F23"/>
    <w:rsid w:val="696370F4"/>
    <w:rsid w:val="69821E2D"/>
    <w:rsid w:val="69931944"/>
    <w:rsid w:val="69DC0241"/>
    <w:rsid w:val="69F7667E"/>
    <w:rsid w:val="69F83E9D"/>
    <w:rsid w:val="69FC1BE0"/>
    <w:rsid w:val="6A1F423B"/>
    <w:rsid w:val="6A2D7FEB"/>
    <w:rsid w:val="6A484E25"/>
    <w:rsid w:val="6A503CD9"/>
    <w:rsid w:val="6A534B8A"/>
    <w:rsid w:val="6A574FAB"/>
    <w:rsid w:val="6A7177BA"/>
    <w:rsid w:val="6A745C1A"/>
    <w:rsid w:val="6A7A0D56"/>
    <w:rsid w:val="6A80346D"/>
    <w:rsid w:val="6A8A11AD"/>
    <w:rsid w:val="6A8A71EB"/>
    <w:rsid w:val="6A9A4F55"/>
    <w:rsid w:val="6A9C6F1F"/>
    <w:rsid w:val="6AB778B5"/>
    <w:rsid w:val="6AB8057A"/>
    <w:rsid w:val="6AF04462"/>
    <w:rsid w:val="6AFB10F3"/>
    <w:rsid w:val="6AFC79BD"/>
    <w:rsid w:val="6AFE7291"/>
    <w:rsid w:val="6B0C2230"/>
    <w:rsid w:val="6B182A49"/>
    <w:rsid w:val="6B2036AC"/>
    <w:rsid w:val="6B20545A"/>
    <w:rsid w:val="6B282560"/>
    <w:rsid w:val="6B315226"/>
    <w:rsid w:val="6B4A24D7"/>
    <w:rsid w:val="6B683B8E"/>
    <w:rsid w:val="6B8A4FC9"/>
    <w:rsid w:val="6B8F6B7F"/>
    <w:rsid w:val="6B9064A9"/>
    <w:rsid w:val="6BB9765C"/>
    <w:rsid w:val="6BBA3B00"/>
    <w:rsid w:val="6BBF5037"/>
    <w:rsid w:val="6BC54253"/>
    <w:rsid w:val="6BC74F0A"/>
    <w:rsid w:val="6BC8789F"/>
    <w:rsid w:val="6BE50451"/>
    <w:rsid w:val="6BEA3CBA"/>
    <w:rsid w:val="6BEE2337"/>
    <w:rsid w:val="6BF608B1"/>
    <w:rsid w:val="6C0703C8"/>
    <w:rsid w:val="6C1F4726"/>
    <w:rsid w:val="6C213EE6"/>
    <w:rsid w:val="6C2216A6"/>
    <w:rsid w:val="6C262F44"/>
    <w:rsid w:val="6C3118E9"/>
    <w:rsid w:val="6C386E8B"/>
    <w:rsid w:val="6C474C68"/>
    <w:rsid w:val="6C4C227F"/>
    <w:rsid w:val="6C507B7A"/>
    <w:rsid w:val="6C5A1189"/>
    <w:rsid w:val="6C5D26DE"/>
    <w:rsid w:val="6C6A4D81"/>
    <w:rsid w:val="6C7B240D"/>
    <w:rsid w:val="6C8859AD"/>
    <w:rsid w:val="6C8A5207"/>
    <w:rsid w:val="6C904861"/>
    <w:rsid w:val="6CB247D7"/>
    <w:rsid w:val="6CC268D7"/>
    <w:rsid w:val="6CC62031"/>
    <w:rsid w:val="6CCE7137"/>
    <w:rsid w:val="6CE64481"/>
    <w:rsid w:val="6CEA73CC"/>
    <w:rsid w:val="6CED272F"/>
    <w:rsid w:val="6CF25BC6"/>
    <w:rsid w:val="6CFC710B"/>
    <w:rsid w:val="6D003795"/>
    <w:rsid w:val="6D0509B6"/>
    <w:rsid w:val="6D162FB8"/>
    <w:rsid w:val="6D1B05CF"/>
    <w:rsid w:val="6D1F7993"/>
    <w:rsid w:val="6D30394E"/>
    <w:rsid w:val="6D3A4588"/>
    <w:rsid w:val="6D45564C"/>
    <w:rsid w:val="6D463172"/>
    <w:rsid w:val="6D505D9E"/>
    <w:rsid w:val="6D5736AF"/>
    <w:rsid w:val="6D6A002E"/>
    <w:rsid w:val="6D7502C8"/>
    <w:rsid w:val="6D763A57"/>
    <w:rsid w:val="6D800432"/>
    <w:rsid w:val="6D837F22"/>
    <w:rsid w:val="6D8D4325"/>
    <w:rsid w:val="6D8D6DE8"/>
    <w:rsid w:val="6D91263F"/>
    <w:rsid w:val="6DB602F7"/>
    <w:rsid w:val="6DBD1FDD"/>
    <w:rsid w:val="6DC9002B"/>
    <w:rsid w:val="6DCC7B1B"/>
    <w:rsid w:val="6DE22E9A"/>
    <w:rsid w:val="6DE54739"/>
    <w:rsid w:val="6DEA1D4F"/>
    <w:rsid w:val="6DF130DE"/>
    <w:rsid w:val="6DF826BE"/>
    <w:rsid w:val="6E0252EB"/>
    <w:rsid w:val="6E05302D"/>
    <w:rsid w:val="6E0C74E9"/>
    <w:rsid w:val="6E1F7C4B"/>
    <w:rsid w:val="6E2C05BA"/>
    <w:rsid w:val="6E364EDD"/>
    <w:rsid w:val="6E3D6323"/>
    <w:rsid w:val="6E405E13"/>
    <w:rsid w:val="6E4633AD"/>
    <w:rsid w:val="6E4C47B8"/>
    <w:rsid w:val="6E55366C"/>
    <w:rsid w:val="6E565636"/>
    <w:rsid w:val="6E587601"/>
    <w:rsid w:val="6E70494A"/>
    <w:rsid w:val="6E781A51"/>
    <w:rsid w:val="6E7D0E15"/>
    <w:rsid w:val="6E873A42"/>
    <w:rsid w:val="6E8977BA"/>
    <w:rsid w:val="6EA36ACE"/>
    <w:rsid w:val="6EA463A2"/>
    <w:rsid w:val="6EA713C0"/>
    <w:rsid w:val="6EAB3BD4"/>
    <w:rsid w:val="6EB83BFB"/>
    <w:rsid w:val="6EC563DF"/>
    <w:rsid w:val="6EC66318"/>
    <w:rsid w:val="6ECA28F1"/>
    <w:rsid w:val="6ECE1671"/>
    <w:rsid w:val="6EDA0016"/>
    <w:rsid w:val="6F0A40EE"/>
    <w:rsid w:val="6F1E6154"/>
    <w:rsid w:val="6F2A2D4B"/>
    <w:rsid w:val="6F2E63D6"/>
    <w:rsid w:val="6F307C36"/>
    <w:rsid w:val="6F343BCA"/>
    <w:rsid w:val="6F3B3FE1"/>
    <w:rsid w:val="6F40256E"/>
    <w:rsid w:val="6F42444A"/>
    <w:rsid w:val="6F573414"/>
    <w:rsid w:val="6F5B49BC"/>
    <w:rsid w:val="6F614293"/>
    <w:rsid w:val="6F63000B"/>
    <w:rsid w:val="6F745D74"/>
    <w:rsid w:val="6F765F90"/>
    <w:rsid w:val="6F773AB6"/>
    <w:rsid w:val="6F9B7998"/>
    <w:rsid w:val="6F9D176F"/>
    <w:rsid w:val="6FA10EE2"/>
    <w:rsid w:val="6FC36CFC"/>
    <w:rsid w:val="6FC50CC6"/>
    <w:rsid w:val="6FD9207B"/>
    <w:rsid w:val="6FE74798"/>
    <w:rsid w:val="6FF43359"/>
    <w:rsid w:val="6FF944CB"/>
    <w:rsid w:val="700729B8"/>
    <w:rsid w:val="700A66D9"/>
    <w:rsid w:val="700D7F77"/>
    <w:rsid w:val="700E61C9"/>
    <w:rsid w:val="70115CB9"/>
    <w:rsid w:val="703419A7"/>
    <w:rsid w:val="70357BF9"/>
    <w:rsid w:val="70395158"/>
    <w:rsid w:val="703F2826"/>
    <w:rsid w:val="7040659E"/>
    <w:rsid w:val="70473489"/>
    <w:rsid w:val="7047792D"/>
    <w:rsid w:val="70480FAF"/>
    <w:rsid w:val="70495453"/>
    <w:rsid w:val="70497201"/>
    <w:rsid w:val="704F058F"/>
    <w:rsid w:val="70657DB3"/>
    <w:rsid w:val="70734297"/>
    <w:rsid w:val="707C0D14"/>
    <w:rsid w:val="707D2D28"/>
    <w:rsid w:val="708E730A"/>
    <w:rsid w:val="70B43DB0"/>
    <w:rsid w:val="70B52AE8"/>
    <w:rsid w:val="70B623BC"/>
    <w:rsid w:val="70C52BDB"/>
    <w:rsid w:val="70C8281B"/>
    <w:rsid w:val="70D311C0"/>
    <w:rsid w:val="70E06054"/>
    <w:rsid w:val="70EB475C"/>
    <w:rsid w:val="70F73101"/>
    <w:rsid w:val="711E068D"/>
    <w:rsid w:val="712D08D1"/>
    <w:rsid w:val="71333A0D"/>
    <w:rsid w:val="71370238"/>
    <w:rsid w:val="713E2ADE"/>
    <w:rsid w:val="715C7408"/>
    <w:rsid w:val="715F193C"/>
    <w:rsid w:val="716342F2"/>
    <w:rsid w:val="7169742F"/>
    <w:rsid w:val="716B764B"/>
    <w:rsid w:val="71755DD4"/>
    <w:rsid w:val="71786BD1"/>
    <w:rsid w:val="717A163C"/>
    <w:rsid w:val="718304F0"/>
    <w:rsid w:val="7185070D"/>
    <w:rsid w:val="71883D59"/>
    <w:rsid w:val="718F158B"/>
    <w:rsid w:val="719B7511"/>
    <w:rsid w:val="719E474F"/>
    <w:rsid w:val="71B33DA4"/>
    <w:rsid w:val="71B44B4E"/>
    <w:rsid w:val="71B615C9"/>
    <w:rsid w:val="71BC59CE"/>
    <w:rsid w:val="71BE59CD"/>
    <w:rsid w:val="71E116BB"/>
    <w:rsid w:val="71ED0060"/>
    <w:rsid w:val="71ED62B2"/>
    <w:rsid w:val="71F4319C"/>
    <w:rsid w:val="71F87130"/>
    <w:rsid w:val="720D24B0"/>
    <w:rsid w:val="72120238"/>
    <w:rsid w:val="721949DC"/>
    <w:rsid w:val="72260F00"/>
    <w:rsid w:val="722D66AE"/>
    <w:rsid w:val="7233543C"/>
    <w:rsid w:val="723B18C5"/>
    <w:rsid w:val="723B526F"/>
    <w:rsid w:val="723D0FE7"/>
    <w:rsid w:val="724C2FD8"/>
    <w:rsid w:val="726A3D31"/>
    <w:rsid w:val="727D3192"/>
    <w:rsid w:val="72834520"/>
    <w:rsid w:val="72851A38"/>
    <w:rsid w:val="72AF3FF2"/>
    <w:rsid w:val="72B46F17"/>
    <w:rsid w:val="72C408B6"/>
    <w:rsid w:val="72C834C6"/>
    <w:rsid w:val="72CB65F3"/>
    <w:rsid w:val="72D07765"/>
    <w:rsid w:val="72DB562A"/>
    <w:rsid w:val="72EB0A43"/>
    <w:rsid w:val="72EC0317"/>
    <w:rsid w:val="72FA6ED8"/>
    <w:rsid w:val="73104006"/>
    <w:rsid w:val="73124D13"/>
    <w:rsid w:val="731C6E4F"/>
    <w:rsid w:val="731F249B"/>
    <w:rsid w:val="733221CE"/>
    <w:rsid w:val="733D36F3"/>
    <w:rsid w:val="7349576A"/>
    <w:rsid w:val="73591E51"/>
    <w:rsid w:val="735D4A81"/>
    <w:rsid w:val="7369613A"/>
    <w:rsid w:val="73697BBA"/>
    <w:rsid w:val="736E51D0"/>
    <w:rsid w:val="73797DFD"/>
    <w:rsid w:val="737A1DC7"/>
    <w:rsid w:val="738A346C"/>
    <w:rsid w:val="738B5D82"/>
    <w:rsid w:val="739E5AB6"/>
    <w:rsid w:val="73AB1B34"/>
    <w:rsid w:val="73B21561"/>
    <w:rsid w:val="73B93EE5"/>
    <w:rsid w:val="73C05A2C"/>
    <w:rsid w:val="73D2575F"/>
    <w:rsid w:val="73D414D7"/>
    <w:rsid w:val="73DC65DE"/>
    <w:rsid w:val="73DE4104"/>
    <w:rsid w:val="73FE1225"/>
    <w:rsid w:val="74017DF2"/>
    <w:rsid w:val="7402235F"/>
    <w:rsid w:val="7416564C"/>
    <w:rsid w:val="742835D1"/>
    <w:rsid w:val="74343D24"/>
    <w:rsid w:val="74387CB8"/>
    <w:rsid w:val="743B3304"/>
    <w:rsid w:val="743E609F"/>
    <w:rsid w:val="7443665D"/>
    <w:rsid w:val="745F621A"/>
    <w:rsid w:val="74730E95"/>
    <w:rsid w:val="74744A68"/>
    <w:rsid w:val="7479207F"/>
    <w:rsid w:val="74A0760B"/>
    <w:rsid w:val="74A964C0"/>
    <w:rsid w:val="74B3733F"/>
    <w:rsid w:val="74B83223"/>
    <w:rsid w:val="74BF3F35"/>
    <w:rsid w:val="74DA16B3"/>
    <w:rsid w:val="74E038B2"/>
    <w:rsid w:val="74E05C5A"/>
    <w:rsid w:val="74F040EF"/>
    <w:rsid w:val="75041948"/>
    <w:rsid w:val="75137DDD"/>
    <w:rsid w:val="75151DA7"/>
    <w:rsid w:val="751D0C5C"/>
    <w:rsid w:val="753A35BC"/>
    <w:rsid w:val="75410DEE"/>
    <w:rsid w:val="75575F1C"/>
    <w:rsid w:val="755D74B7"/>
    <w:rsid w:val="757A4300"/>
    <w:rsid w:val="757D16FB"/>
    <w:rsid w:val="758D5DE2"/>
    <w:rsid w:val="75976C60"/>
    <w:rsid w:val="75AD3F58"/>
    <w:rsid w:val="75E27F13"/>
    <w:rsid w:val="75E31EA6"/>
    <w:rsid w:val="75E83018"/>
    <w:rsid w:val="75EB2B08"/>
    <w:rsid w:val="760A5684"/>
    <w:rsid w:val="761C23D7"/>
    <w:rsid w:val="762D4ECF"/>
    <w:rsid w:val="764A7A65"/>
    <w:rsid w:val="76544B51"/>
    <w:rsid w:val="76593F16"/>
    <w:rsid w:val="765B1A3C"/>
    <w:rsid w:val="76676633"/>
    <w:rsid w:val="767174B1"/>
    <w:rsid w:val="76796B5A"/>
    <w:rsid w:val="769211D6"/>
    <w:rsid w:val="76A636BD"/>
    <w:rsid w:val="76AF7FDA"/>
    <w:rsid w:val="76BE5699"/>
    <w:rsid w:val="76CF1A5A"/>
    <w:rsid w:val="76D96C95"/>
    <w:rsid w:val="76E53009"/>
    <w:rsid w:val="76ED3A58"/>
    <w:rsid w:val="76F123A0"/>
    <w:rsid w:val="76F51E90"/>
    <w:rsid w:val="770245AD"/>
    <w:rsid w:val="77043E82"/>
    <w:rsid w:val="77065E4C"/>
    <w:rsid w:val="770C0F88"/>
    <w:rsid w:val="7711659E"/>
    <w:rsid w:val="77132317"/>
    <w:rsid w:val="77212C85"/>
    <w:rsid w:val="772462D2"/>
    <w:rsid w:val="772F0407"/>
    <w:rsid w:val="774002DD"/>
    <w:rsid w:val="77585F7B"/>
    <w:rsid w:val="77754D7F"/>
    <w:rsid w:val="777C5C85"/>
    <w:rsid w:val="778459C6"/>
    <w:rsid w:val="77882D05"/>
    <w:rsid w:val="778C5243"/>
    <w:rsid w:val="778E4093"/>
    <w:rsid w:val="779276DF"/>
    <w:rsid w:val="77A03442"/>
    <w:rsid w:val="77A06B48"/>
    <w:rsid w:val="77A25193"/>
    <w:rsid w:val="77A35559"/>
    <w:rsid w:val="77AD4519"/>
    <w:rsid w:val="77B21B30"/>
    <w:rsid w:val="77B5517C"/>
    <w:rsid w:val="77BD725E"/>
    <w:rsid w:val="77C96E79"/>
    <w:rsid w:val="77CB2BF1"/>
    <w:rsid w:val="77CB499F"/>
    <w:rsid w:val="77CD0717"/>
    <w:rsid w:val="77D63117"/>
    <w:rsid w:val="77D71596"/>
    <w:rsid w:val="77E912C9"/>
    <w:rsid w:val="78006D3F"/>
    <w:rsid w:val="78085BF3"/>
    <w:rsid w:val="781400F4"/>
    <w:rsid w:val="781C2EF4"/>
    <w:rsid w:val="782C7B34"/>
    <w:rsid w:val="782D7408"/>
    <w:rsid w:val="78300CA6"/>
    <w:rsid w:val="783C3AEF"/>
    <w:rsid w:val="78434E7D"/>
    <w:rsid w:val="784535AE"/>
    <w:rsid w:val="785A7582"/>
    <w:rsid w:val="785E5813"/>
    <w:rsid w:val="786D3CA8"/>
    <w:rsid w:val="787212BF"/>
    <w:rsid w:val="787E0B96"/>
    <w:rsid w:val="78886D34"/>
    <w:rsid w:val="78955947"/>
    <w:rsid w:val="789A79F1"/>
    <w:rsid w:val="789C633C"/>
    <w:rsid w:val="789D27E0"/>
    <w:rsid w:val="78A43B6E"/>
    <w:rsid w:val="78BE16CF"/>
    <w:rsid w:val="78C80EDF"/>
    <w:rsid w:val="78D635FC"/>
    <w:rsid w:val="78E026CC"/>
    <w:rsid w:val="78EF290F"/>
    <w:rsid w:val="78F87A16"/>
    <w:rsid w:val="78F910A8"/>
    <w:rsid w:val="79091F59"/>
    <w:rsid w:val="79346574"/>
    <w:rsid w:val="79455C0B"/>
    <w:rsid w:val="79490272"/>
    <w:rsid w:val="79517126"/>
    <w:rsid w:val="795F5CE7"/>
    <w:rsid w:val="796B468C"/>
    <w:rsid w:val="796C3F60"/>
    <w:rsid w:val="79733540"/>
    <w:rsid w:val="79780B57"/>
    <w:rsid w:val="797B41A3"/>
    <w:rsid w:val="79856DD0"/>
    <w:rsid w:val="79882D39"/>
    <w:rsid w:val="798D4602"/>
    <w:rsid w:val="79935991"/>
    <w:rsid w:val="799D05BD"/>
    <w:rsid w:val="79A951B4"/>
    <w:rsid w:val="79AE4579"/>
    <w:rsid w:val="79B002F1"/>
    <w:rsid w:val="79BC0A44"/>
    <w:rsid w:val="79C618C2"/>
    <w:rsid w:val="79DC7338"/>
    <w:rsid w:val="79DE4E5E"/>
    <w:rsid w:val="79DF2801"/>
    <w:rsid w:val="79E65AC0"/>
    <w:rsid w:val="79E87A8A"/>
    <w:rsid w:val="79F521A7"/>
    <w:rsid w:val="7A097A01"/>
    <w:rsid w:val="7A0C052E"/>
    <w:rsid w:val="7A0D74F1"/>
    <w:rsid w:val="7A122D59"/>
    <w:rsid w:val="7A1C5986"/>
    <w:rsid w:val="7A212F9C"/>
    <w:rsid w:val="7A2778CD"/>
    <w:rsid w:val="7A454EDD"/>
    <w:rsid w:val="7A4601A0"/>
    <w:rsid w:val="7A4D5B40"/>
    <w:rsid w:val="7A523156"/>
    <w:rsid w:val="7A6F3D08"/>
    <w:rsid w:val="7A770E0E"/>
    <w:rsid w:val="7A777813"/>
    <w:rsid w:val="7A832B25"/>
    <w:rsid w:val="7AA37A7E"/>
    <w:rsid w:val="7AA5772A"/>
    <w:rsid w:val="7AB45922"/>
    <w:rsid w:val="7AB94F83"/>
    <w:rsid w:val="7AC34054"/>
    <w:rsid w:val="7AC5601E"/>
    <w:rsid w:val="7ACD0A2E"/>
    <w:rsid w:val="7AD539A8"/>
    <w:rsid w:val="7AE30252"/>
    <w:rsid w:val="7AEC5358"/>
    <w:rsid w:val="7AEE30CD"/>
    <w:rsid w:val="7B034EB4"/>
    <w:rsid w:val="7B073F40"/>
    <w:rsid w:val="7B0A1C83"/>
    <w:rsid w:val="7B0C3BFE"/>
    <w:rsid w:val="7B167964"/>
    <w:rsid w:val="7B2F16E9"/>
    <w:rsid w:val="7B430CF1"/>
    <w:rsid w:val="7B555980"/>
    <w:rsid w:val="7B5C30F3"/>
    <w:rsid w:val="7B6B0973"/>
    <w:rsid w:val="7B6B4E8E"/>
    <w:rsid w:val="7B6C0247"/>
    <w:rsid w:val="7B716E94"/>
    <w:rsid w:val="7B780AEF"/>
    <w:rsid w:val="7B881C07"/>
    <w:rsid w:val="7B9F76F6"/>
    <w:rsid w:val="7B9FBDBA"/>
    <w:rsid w:val="7BA507C0"/>
    <w:rsid w:val="7BB64ECC"/>
    <w:rsid w:val="7BBE7F23"/>
    <w:rsid w:val="7BBF3DB1"/>
    <w:rsid w:val="7BC41E31"/>
    <w:rsid w:val="7BC67BE1"/>
    <w:rsid w:val="7BDA3403"/>
    <w:rsid w:val="7BDC53CD"/>
    <w:rsid w:val="7BDF0180"/>
    <w:rsid w:val="7BE67FFA"/>
    <w:rsid w:val="7BFD106A"/>
    <w:rsid w:val="7C06244A"/>
    <w:rsid w:val="7C136915"/>
    <w:rsid w:val="7C15268D"/>
    <w:rsid w:val="7C217284"/>
    <w:rsid w:val="7C280612"/>
    <w:rsid w:val="7C376AA7"/>
    <w:rsid w:val="7C4D0079"/>
    <w:rsid w:val="7C50739E"/>
    <w:rsid w:val="7C6453C2"/>
    <w:rsid w:val="7C6F4493"/>
    <w:rsid w:val="7C6F6241"/>
    <w:rsid w:val="7C743857"/>
    <w:rsid w:val="7C790E6E"/>
    <w:rsid w:val="7CA3413D"/>
    <w:rsid w:val="7CA57EB5"/>
    <w:rsid w:val="7CA73C2D"/>
    <w:rsid w:val="7CB9570E"/>
    <w:rsid w:val="7CBB76D8"/>
    <w:rsid w:val="7D276B1C"/>
    <w:rsid w:val="7D366D5F"/>
    <w:rsid w:val="7D5F2D10"/>
    <w:rsid w:val="7D6F401F"/>
    <w:rsid w:val="7D731D61"/>
    <w:rsid w:val="7D8B70AB"/>
    <w:rsid w:val="7DAA5057"/>
    <w:rsid w:val="7DB54128"/>
    <w:rsid w:val="7DB83C18"/>
    <w:rsid w:val="7DBD4D8A"/>
    <w:rsid w:val="7DC05154"/>
    <w:rsid w:val="7DCC321F"/>
    <w:rsid w:val="7DD520D4"/>
    <w:rsid w:val="7DE06E87"/>
    <w:rsid w:val="7DE40569"/>
    <w:rsid w:val="7DE9671E"/>
    <w:rsid w:val="7DEE3196"/>
    <w:rsid w:val="7DF96F41"/>
    <w:rsid w:val="7E0D3F64"/>
    <w:rsid w:val="7E1075B0"/>
    <w:rsid w:val="7E123328"/>
    <w:rsid w:val="7E5C21D4"/>
    <w:rsid w:val="7E5E322C"/>
    <w:rsid w:val="7E6A3164"/>
    <w:rsid w:val="7E6B47E6"/>
    <w:rsid w:val="7E70004F"/>
    <w:rsid w:val="7E7F494B"/>
    <w:rsid w:val="7E8C5C23"/>
    <w:rsid w:val="7E90249F"/>
    <w:rsid w:val="7E97382D"/>
    <w:rsid w:val="7E9755DB"/>
    <w:rsid w:val="7E9957F7"/>
    <w:rsid w:val="7E9A1438"/>
    <w:rsid w:val="7E9B156F"/>
    <w:rsid w:val="7E9F053D"/>
    <w:rsid w:val="7EA30424"/>
    <w:rsid w:val="7EAD3051"/>
    <w:rsid w:val="7EC637CE"/>
    <w:rsid w:val="7EC873B0"/>
    <w:rsid w:val="7EC87E8B"/>
    <w:rsid w:val="7ECD724F"/>
    <w:rsid w:val="7ED56104"/>
    <w:rsid w:val="7ED94253"/>
    <w:rsid w:val="7EDA4DF2"/>
    <w:rsid w:val="7EE747B5"/>
    <w:rsid w:val="7EEF5417"/>
    <w:rsid w:val="7F076C05"/>
    <w:rsid w:val="7F196938"/>
    <w:rsid w:val="7F2C666B"/>
    <w:rsid w:val="7F4734A5"/>
    <w:rsid w:val="7F6106E9"/>
    <w:rsid w:val="7F7D2A23"/>
    <w:rsid w:val="7F98785D"/>
    <w:rsid w:val="7F9F508F"/>
    <w:rsid w:val="7FA2692E"/>
    <w:rsid w:val="7FBC5A7C"/>
    <w:rsid w:val="7FBF128D"/>
    <w:rsid w:val="7FDB3BED"/>
    <w:rsid w:val="7FDD1714"/>
    <w:rsid w:val="7FDF723A"/>
    <w:rsid w:val="7FEB5F33"/>
    <w:rsid w:val="7FF01447"/>
    <w:rsid w:val="B7DE8C33"/>
    <w:rsid w:val="BBEAD93B"/>
    <w:rsid w:val="BDF4B87F"/>
    <w:rsid w:val="BF2B2C6D"/>
    <w:rsid w:val="D777CA90"/>
    <w:rsid w:val="DBF76A68"/>
    <w:rsid w:val="DBFCDB0F"/>
    <w:rsid w:val="FFDB8C6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zh-CN" w:bidi="ar-SA"/>
    </w:rPr>
  </w:style>
  <w:style w:type="paragraph" w:styleId="2">
    <w:name w:val="heading 1"/>
    <w:basedOn w:val="1"/>
    <w:next w:val="1"/>
    <w:autoRedefine/>
    <w:qFormat/>
    <w:uiPriority w:val="9"/>
    <w:pPr>
      <w:keepNext/>
      <w:keepLines/>
      <w:spacing w:before="340" w:after="330" w:line="578" w:lineRule="auto"/>
      <w:outlineLvl w:val="0"/>
    </w:pPr>
    <w:rPr>
      <w:b/>
      <w:bCs/>
      <w:kern w:val="44"/>
      <w:sz w:val="44"/>
      <w:szCs w:val="44"/>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3">
    <w:name w:val="caption"/>
    <w:basedOn w:val="1"/>
    <w:next w:val="1"/>
    <w:autoRedefine/>
    <w:qFormat/>
    <w:uiPriority w:val="35"/>
    <w:pPr>
      <w:widowControl w:val="0"/>
      <w:kinsoku/>
      <w:autoSpaceDE/>
      <w:autoSpaceDN/>
      <w:adjustRightInd/>
      <w:snapToGrid/>
      <w:spacing w:before="152" w:after="160"/>
      <w:jc w:val="both"/>
      <w:textAlignment w:val="auto"/>
    </w:pPr>
    <w:rPr>
      <w:rFonts w:ascii="Arial Narrow" w:hAnsi="Arial Narrow" w:eastAsia="Arial Narrow" w:cs="Arial Narrow"/>
      <w:snapToGrid/>
      <w:color w:val="auto"/>
      <w:kern w:val="2"/>
      <w:sz w:val="20"/>
      <w:szCs w:val="20"/>
    </w:rPr>
  </w:style>
  <w:style w:type="paragraph" w:styleId="4">
    <w:name w:val="annotation text"/>
    <w:basedOn w:val="1"/>
    <w:link w:val="22"/>
    <w:autoRedefine/>
    <w:qFormat/>
    <w:uiPriority w:val="99"/>
  </w:style>
  <w:style w:type="paragraph" w:styleId="5">
    <w:name w:val="Body Text"/>
    <w:basedOn w:val="1"/>
    <w:next w:val="6"/>
    <w:autoRedefine/>
    <w:qFormat/>
    <w:uiPriority w:val="99"/>
    <w:pPr>
      <w:spacing w:after="120"/>
    </w:pPr>
    <w:rPr>
      <w:rFonts w:ascii="Times New Roman" w:hAnsi="Times New Roman" w:eastAsia="宋体" w:cs="Times New Roman"/>
      <w:color w:val="auto"/>
    </w:rPr>
  </w:style>
  <w:style w:type="paragraph" w:styleId="6">
    <w:name w:val="Title"/>
    <w:basedOn w:val="1"/>
    <w:next w:val="1"/>
    <w:autoRedefine/>
    <w:qFormat/>
    <w:uiPriority w:val="0"/>
    <w:pPr>
      <w:jc w:val="center"/>
      <w:outlineLvl w:val="0"/>
    </w:pPr>
    <w:rPr>
      <w:rFonts w:hint="eastAsia" w:ascii="方正小标宋_GBK" w:hAnsi="方正小标宋_GBK" w:eastAsia="方正小标宋_GBK"/>
      <w:sz w:val="44"/>
      <w:szCs w:val="44"/>
    </w:rPr>
  </w:style>
  <w:style w:type="paragraph" w:styleId="7">
    <w:name w:val="Date"/>
    <w:basedOn w:val="1"/>
    <w:next w:val="1"/>
    <w:link w:val="30"/>
    <w:autoRedefine/>
    <w:qFormat/>
    <w:uiPriority w:val="0"/>
    <w:pPr>
      <w:ind w:left="100" w:leftChars="2500"/>
    </w:pPr>
  </w:style>
  <w:style w:type="paragraph" w:styleId="8">
    <w:name w:val="Balloon Text"/>
    <w:basedOn w:val="1"/>
    <w:link w:val="25"/>
    <w:autoRedefine/>
    <w:qFormat/>
    <w:uiPriority w:val="0"/>
    <w:rPr>
      <w:sz w:val="18"/>
      <w:szCs w:val="18"/>
    </w:rPr>
  </w:style>
  <w:style w:type="paragraph" w:styleId="9">
    <w:name w:val="footer"/>
    <w:basedOn w:val="1"/>
    <w:link w:val="20"/>
    <w:autoRedefine/>
    <w:qFormat/>
    <w:uiPriority w:val="0"/>
    <w:pPr>
      <w:tabs>
        <w:tab w:val="center" w:pos="4153"/>
        <w:tab w:val="right" w:pos="8306"/>
      </w:tabs>
    </w:pPr>
    <w:rPr>
      <w:sz w:val="18"/>
      <w:szCs w:val="18"/>
    </w:rPr>
  </w:style>
  <w:style w:type="paragraph" w:styleId="10">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11">
    <w:name w:val="toc 1"/>
    <w:basedOn w:val="1"/>
    <w:next w:val="1"/>
    <w:autoRedefine/>
    <w:qFormat/>
    <w:uiPriority w:val="39"/>
  </w:style>
  <w:style w:type="paragraph" w:styleId="12">
    <w:name w:val="toc 2"/>
    <w:basedOn w:val="1"/>
    <w:next w:val="1"/>
    <w:autoRedefine/>
    <w:qFormat/>
    <w:uiPriority w:val="39"/>
    <w:pPr>
      <w:ind w:left="420" w:leftChars="200"/>
    </w:pPr>
  </w:style>
  <w:style w:type="paragraph" w:styleId="13">
    <w:name w:val="annotation subject"/>
    <w:basedOn w:val="4"/>
    <w:next w:val="4"/>
    <w:link w:val="23"/>
    <w:autoRedefine/>
    <w:qFormat/>
    <w:uiPriority w:val="0"/>
    <w:rPr>
      <w:b/>
      <w:bCs/>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Hyperlink"/>
    <w:basedOn w:val="16"/>
    <w:autoRedefine/>
    <w:unhideWhenUsed/>
    <w:qFormat/>
    <w:uiPriority w:val="99"/>
    <w:rPr>
      <w:color w:val="0000FF" w:themeColor="hyperlink"/>
      <w:u w:val="single"/>
      <w14:textFill>
        <w14:solidFill>
          <w14:schemeClr w14:val="hlink"/>
        </w14:solidFill>
      </w14:textFill>
    </w:rPr>
  </w:style>
  <w:style w:type="character" w:styleId="18">
    <w:name w:val="annotation reference"/>
    <w:basedOn w:val="16"/>
    <w:autoRedefine/>
    <w:qFormat/>
    <w:uiPriority w:val="99"/>
    <w:rPr>
      <w:sz w:val="21"/>
      <w:szCs w:val="21"/>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character" w:customStyle="1" w:styleId="20">
    <w:name w:val="页脚 字符"/>
    <w:basedOn w:val="16"/>
    <w:link w:val="9"/>
    <w:autoRedefine/>
    <w:qFormat/>
    <w:uiPriority w:val="0"/>
    <w:rPr>
      <w:rFonts w:eastAsia="Arial"/>
      <w:snapToGrid w:val="0"/>
      <w:color w:val="000000"/>
      <w:sz w:val="18"/>
      <w:szCs w:val="18"/>
    </w:rPr>
  </w:style>
  <w:style w:type="paragraph" w:customStyle="1" w:styleId="21">
    <w:name w:val="修订1"/>
    <w:autoRedefine/>
    <w:hidden/>
    <w:semiHidden/>
    <w:qFormat/>
    <w:uiPriority w:val="99"/>
    <w:rPr>
      <w:rFonts w:ascii="Arial" w:hAnsi="Arial" w:eastAsia="Arial" w:cs="Arial"/>
      <w:snapToGrid w:val="0"/>
      <w:color w:val="000000"/>
      <w:sz w:val="21"/>
      <w:szCs w:val="21"/>
      <w:lang w:val="en-US" w:eastAsia="zh-CN" w:bidi="ar-SA"/>
    </w:rPr>
  </w:style>
  <w:style w:type="character" w:customStyle="1" w:styleId="22">
    <w:name w:val="批注文字 字符"/>
    <w:basedOn w:val="16"/>
    <w:link w:val="4"/>
    <w:autoRedefine/>
    <w:qFormat/>
    <w:uiPriority w:val="99"/>
    <w:rPr>
      <w:rFonts w:eastAsia="Arial"/>
      <w:snapToGrid w:val="0"/>
      <w:color w:val="000000"/>
      <w:sz w:val="21"/>
      <w:szCs w:val="21"/>
    </w:rPr>
  </w:style>
  <w:style w:type="character" w:customStyle="1" w:styleId="23">
    <w:name w:val="批注主题 字符"/>
    <w:basedOn w:val="22"/>
    <w:link w:val="13"/>
    <w:autoRedefine/>
    <w:qFormat/>
    <w:uiPriority w:val="0"/>
    <w:rPr>
      <w:rFonts w:eastAsia="Arial"/>
      <w:b/>
      <w:bCs/>
      <w:snapToGrid w:val="0"/>
      <w:color w:val="000000"/>
      <w:sz w:val="21"/>
      <w:szCs w:val="21"/>
    </w:rPr>
  </w:style>
  <w:style w:type="paragraph" w:customStyle="1" w:styleId="24">
    <w:name w:val="修订2"/>
    <w:autoRedefine/>
    <w:hidden/>
    <w:semiHidden/>
    <w:qFormat/>
    <w:uiPriority w:val="99"/>
    <w:rPr>
      <w:rFonts w:ascii="Arial" w:hAnsi="Arial" w:eastAsia="Arial" w:cs="Arial"/>
      <w:snapToGrid w:val="0"/>
      <w:color w:val="000000"/>
      <w:sz w:val="21"/>
      <w:szCs w:val="21"/>
      <w:lang w:val="en-US" w:eastAsia="zh-CN" w:bidi="ar-SA"/>
    </w:rPr>
  </w:style>
  <w:style w:type="character" w:customStyle="1" w:styleId="25">
    <w:name w:val="批注框文本 字符"/>
    <w:basedOn w:val="16"/>
    <w:link w:val="8"/>
    <w:autoRedefine/>
    <w:qFormat/>
    <w:uiPriority w:val="0"/>
    <w:rPr>
      <w:rFonts w:eastAsia="Arial"/>
      <w:snapToGrid w:val="0"/>
      <w:color w:val="000000"/>
      <w:sz w:val="18"/>
      <w:szCs w:val="18"/>
    </w:rPr>
  </w:style>
  <w:style w:type="paragraph" w:customStyle="1" w:styleId="26">
    <w:name w:val="段"/>
    <w:link w:val="27"/>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7">
    <w:name w:val="段 Char"/>
    <w:link w:val="26"/>
    <w:autoRedefine/>
    <w:qFormat/>
    <w:uiPriority w:val="0"/>
    <w:rPr>
      <w:rFonts w:ascii="宋体" w:hAnsi="Times New Roman" w:eastAsia="宋体" w:cs="Times New Roman"/>
      <w:sz w:val="21"/>
    </w:rPr>
  </w:style>
  <w:style w:type="paragraph" w:styleId="28">
    <w:name w:val="List Paragraph"/>
    <w:basedOn w:val="1"/>
    <w:autoRedefine/>
    <w:qFormat/>
    <w:uiPriority w:val="99"/>
    <w:pPr>
      <w:ind w:firstLine="420" w:firstLineChars="200"/>
    </w:pPr>
  </w:style>
  <w:style w:type="paragraph" w:customStyle="1" w:styleId="29">
    <w:name w:val="修订3"/>
    <w:autoRedefine/>
    <w:hidden/>
    <w:semiHidden/>
    <w:qFormat/>
    <w:uiPriority w:val="99"/>
    <w:rPr>
      <w:rFonts w:ascii="Arial" w:hAnsi="Arial" w:eastAsia="Arial" w:cs="Arial"/>
      <w:snapToGrid w:val="0"/>
      <w:color w:val="000000"/>
      <w:sz w:val="21"/>
      <w:szCs w:val="21"/>
      <w:lang w:val="en-US" w:eastAsia="zh-CN" w:bidi="ar-SA"/>
    </w:rPr>
  </w:style>
  <w:style w:type="character" w:customStyle="1" w:styleId="30">
    <w:name w:val="日期 字符"/>
    <w:basedOn w:val="16"/>
    <w:link w:val="7"/>
    <w:autoRedefine/>
    <w:qFormat/>
    <w:uiPriority w:val="0"/>
    <w:rPr>
      <w:rFonts w:eastAsia="Arial"/>
      <w:snapToGrid w:val="0"/>
      <w:color w:val="000000"/>
      <w:sz w:val="21"/>
      <w:szCs w:val="21"/>
    </w:rPr>
  </w:style>
  <w:style w:type="paragraph" w:customStyle="1" w:styleId="31">
    <w:name w:val="WPSOffice手动目录 1"/>
    <w:autoRedefine/>
    <w:qFormat/>
    <w:uiPriority w:val="0"/>
    <w:rPr>
      <w:rFonts w:ascii="Arial" w:hAnsi="Arial" w:cs="Arial" w:eastAsiaTheme="minorEastAsia"/>
      <w:lang w:val="en-US" w:eastAsia="zh-CN" w:bidi="ar-SA"/>
    </w:rPr>
  </w:style>
  <w:style w:type="paragraph" w:customStyle="1" w:styleId="32">
    <w:name w:val="WPSOffice手动目录 2"/>
    <w:autoRedefine/>
    <w:qFormat/>
    <w:uiPriority w:val="0"/>
    <w:pPr>
      <w:ind w:left="200" w:leftChars="200"/>
    </w:pPr>
    <w:rPr>
      <w:rFonts w:ascii="Arial" w:hAnsi="Arial" w:cs="Arial" w:eastAsiaTheme="minorEastAsia"/>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Huawei Technologies Co.,Ltd.</Company>
  <Pages>15</Pages>
  <Words>2591</Words>
  <Characters>2691</Characters>
  <Lines>73</Lines>
  <Paragraphs>20</Paragraphs>
  <TotalTime>0</TotalTime>
  <ScaleCrop>false</ScaleCrop>
  <LinksUpToDate>false</LinksUpToDate>
  <CharactersWithSpaces>3079</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2024-05-11T03:38:00Z</dcterms:created>
  <dc:creator>尹杨</dc:creator>
  <cp:lastModifiedBy>马小龙</cp:lastModifiedBy>
  <dcterms:modified xsi:type="dcterms:W3CDTF">2025-06-05T07:25:43Z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wqlLaW5nc29mdCBQREYgdG8gV1BTIDY1</vt:lpwstr>
  </property>
  <property fmtid="{D5CDD505-2E9C-101B-9397-08002B2CF9AE}" pid="3" name="Created">
    <vt:filetime>2021-11-01T14:00:49Z</vt:filetime>
  </property>
  <property fmtid="{D5CDD505-2E9C-101B-9397-08002B2CF9AE}" pid="4" name="KSOProductBuildVer">
    <vt:lpwstr>2052-12.1.0.21171</vt:lpwstr>
  </property>
  <property fmtid="{D5CDD505-2E9C-101B-9397-08002B2CF9AE}" pid="5" name="ICV">
    <vt:lpwstr>11BC337856214805BC3E47AA265E45C9_13</vt:lpwstr>
  </property>
  <property fmtid="{D5CDD505-2E9C-101B-9397-08002B2CF9AE}" pid="6" name="_2015_ms_pID_725343">
    <vt:lpwstr>(3)36tGkq/fT26hX9XYULQ3huecXh43a8ivpCd9LwaAoI5aQbobiqyiL32RGuesIwzrmBlLfyVl
U/uFPDzVoLecS1GCNawfUNy+ub4r80QASPEZ+XNSpFcx79tLqKWeJHaYatdmC1R1dWHVdB04
3FC98V8ZFj+Ok0sWkMGeDmtzvuQgjzlQkAniQXKEbtQ9GoGCSNgsam9Mpti10BmgZiUn6Uan
Ano+P+vW5SUcdBAB/n</vt:lpwstr>
  </property>
  <property fmtid="{D5CDD505-2E9C-101B-9397-08002B2CF9AE}" pid="7" name="_2015_ms_pID_7253431">
    <vt:lpwstr>daNP6yZGIz/g6T8AxnwHzBTCgk6nsw56ggf0+tl50kXX71WtPMC7h0
cAdPAJzUR6vniYiOAJGvqbTsZsMwAV0lGAq4Tsdt/TMPWADPE895ct8gzsTAYySHCAVKosGQ
OBH7+lcFaJAiCCfG8M1NER81DDqvkP97PwzB249f6YKqVXzz1lZy//qQSWlDTDXens2GO0TS
1kr+uahwDC2MgqoqoFJu4M0O1xHqlGQh8X2E</vt:lpwstr>
  </property>
  <property fmtid="{D5CDD505-2E9C-101B-9397-08002B2CF9AE}" pid="8" name="_2015_ms_pID_7253432">
    <vt:lpwstr>Qw==</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1655279104</vt:lpwstr>
  </property>
  <property fmtid="{D5CDD505-2E9C-101B-9397-08002B2CF9AE}" pid="13" name="KSOTemplateDocerSaveRecord">
    <vt:lpwstr>eyJoZGlkIjoiZWEwMDcyYmZiMDVhMTliOThhODMxZWU5YzU1YjZjYjAiLCJ1c2VySWQiOiI0NDUxOTM1MDEifQ==</vt:lpwstr>
  </property>
</Properties>
</file>