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0"/>
        <w:rPr>
          <w:rFonts w:ascii="Times New Roman" w:hAnsi="Times New Roman"/>
        </w:rPr>
      </w:pPr>
    </w:p>
    <w:p>
      <w:pPr>
        <w:pStyle w:val="2"/>
        <w:spacing w:before="240" w:after="0" w:line="360" w:lineRule="auto"/>
        <w:ind w:firstLine="803"/>
        <w:jc w:val="center"/>
        <w:rPr>
          <w:rFonts w:ascii="Times New Roman" w:hAnsi="Times New Roman" w:eastAsia="黑体"/>
          <w:sz w:val="40"/>
          <w:szCs w:val="36"/>
        </w:rPr>
      </w:pPr>
      <w:bookmarkStart w:id="0" w:name="_Toc176468756"/>
      <w:bookmarkStart w:id="1" w:name="_Toc28355"/>
      <w:r>
        <w:rPr>
          <w:rFonts w:hint="eastAsia" w:ascii="Times New Roman" w:hAnsi="Times New Roman" w:eastAsia="黑体"/>
          <w:sz w:val="40"/>
          <w:szCs w:val="36"/>
        </w:rPr>
        <w:t>《</w:t>
      </w:r>
      <w:r>
        <w:rPr>
          <w:rFonts w:hint="eastAsia" w:ascii="Times New Roman" w:hAnsi="Times New Roman" w:eastAsia="黑体"/>
        </w:rPr>
        <w:t>智能汽车基础地图</w:t>
      </w:r>
      <w:r>
        <w:rPr>
          <w:rFonts w:hint="eastAsia" w:eastAsia="黑体"/>
          <w:lang w:val="en-US" w:eastAsia="zh-CN"/>
        </w:rPr>
        <w:t>要素</w:t>
      </w:r>
      <w:r>
        <w:rPr>
          <w:rFonts w:hint="eastAsia" w:ascii="Times New Roman" w:hAnsi="Times New Roman" w:eastAsia="黑体"/>
        </w:rPr>
        <w:t>分类和编码</w:t>
      </w:r>
      <w:r>
        <w:rPr>
          <w:rFonts w:ascii="Times New Roman" w:hAnsi="Times New Roman" w:eastAsia="黑体"/>
          <w:sz w:val="40"/>
          <w:szCs w:val="36"/>
        </w:rPr>
        <w:t>》</w:t>
      </w:r>
      <w:bookmarkEnd w:id="0"/>
      <w:bookmarkEnd w:id="1"/>
    </w:p>
    <w:p>
      <w:pPr>
        <w:ind w:firstLine="600"/>
        <w:rPr>
          <w:rFonts w:ascii="Times New Roman" w:hAnsi="Times New Roman"/>
        </w:rPr>
      </w:pPr>
    </w:p>
    <w:p>
      <w:pPr>
        <w:ind w:firstLine="600"/>
        <w:rPr>
          <w:rFonts w:ascii="Times New Roman" w:hAnsi="Times New Roman"/>
        </w:rPr>
      </w:pPr>
    </w:p>
    <w:p>
      <w:pPr>
        <w:pStyle w:val="2"/>
        <w:spacing w:before="0" w:after="240" w:line="360" w:lineRule="auto"/>
        <w:ind w:firstLine="883"/>
        <w:jc w:val="center"/>
        <w:rPr>
          <w:rFonts w:ascii="Times New Roman" w:hAnsi="Times New Roman" w:eastAsia="黑体"/>
        </w:rPr>
      </w:pPr>
      <w:bookmarkStart w:id="2" w:name="_Toc6462"/>
      <w:bookmarkStart w:id="3" w:name="_Toc176468757"/>
      <w:r>
        <w:rPr>
          <w:rFonts w:hint="eastAsia" w:ascii="Times New Roman" w:hAnsi="Times New Roman" w:eastAsia="黑体"/>
        </w:rPr>
        <w:t>编制说明</w:t>
      </w:r>
      <w:bookmarkEnd w:id="2"/>
      <w:bookmarkEnd w:id="3"/>
    </w:p>
    <w:p>
      <w:pPr>
        <w:ind w:firstLine="600"/>
        <w:rPr>
          <w:rFonts w:ascii="Times New Roman" w:hAnsi="Times New Roman"/>
        </w:rPr>
      </w:pPr>
    </w:p>
    <w:p>
      <w:pPr>
        <w:ind w:firstLine="600"/>
        <w:rPr>
          <w:rFonts w:ascii="Times New Roman" w:hAnsi="Times New Roman"/>
        </w:rPr>
      </w:pPr>
    </w:p>
    <w:p>
      <w:pPr>
        <w:ind w:firstLine="600"/>
        <w:rPr>
          <w:rFonts w:ascii="Times New Roman" w:hAnsi="Times New Roman"/>
        </w:rPr>
      </w:pPr>
    </w:p>
    <w:p>
      <w:pPr>
        <w:spacing w:after="312" w:afterLines="100"/>
        <w:ind w:firstLine="565" w:firstLineChars="202"/>
        <w:rPr>
          <w:rFonts w:ascii="Times New Roman" w:hAnsi="Times New Roman"/>
          <w:bCs/>
          <w:sz w:val="28"/>
          <w:szCs w:val="28"/>
          <w:u w:val="single"/>
        </w:rPr>
      </w:pPr>
      <w:r>
        <w:rPr>
          <w:rFonts w:hint="eastAsia" w:ascii="Times New Roman" w:hAnsi="Times New Roman"/>
          <w:sz w:val="28"/>
          <w:szCs w:val="28"/>
        </w:rPr>
        <w:t>行业</w:t>
      </w:r>
      <w:r>
        <w:rPr>
          <w:rFonts w:ascii="Times New Roman" w:hAnsi="Times New Roman"/>
          <w:sz w:val="28"/>
          <w:szCs w:val="28"/>
        </w:rPr>
        <w:t>标准项目名称：</w:t>
      </w:r>
      <w:r>
        <w:rPr>
          <w:rFonts w:hint="eastAsia" w:ascii="Times New Roman" w:hAnsi="Times New Roman"/>
          <w:sz w:val="28"/>
          <w:szCs w:val="28"/>
          <w:u w:val="single"/>
        </w:rPr>
        <w:t xml:space="preserve">  </w:t>
      </w:r>
      <w:r>
        <w:rPr>
          <w:rFonts w:hint="eastAsia" w:ascii="Times New Roman" w:hAnsi="Times New Roman" w:cs="Times New Roman"/>
          <w:bCs/>
          <w:sz w:val="28"/>
          <w:szCs w:val="28"/>
          <w:u w:val="single"/>
        </w:rPr>
        <w:t>智能汽车基础地图</w:t>
      </w:r>
      <w:r>
        <w:rPr>
          <w:rFonts w:hint="eastAsia" w:cs="Times New Roman"/>
          <w:bCs/>
          <w:sz w:val="28"/>
          <w:szCs w:val="28"/>
          <w:u w:val="single"/>
          <w:lang w:val="en-US" w:eastAsia="zh-CN"/>
        </w:rPr>
        <w:t>要素</w:t>
      </w:r>
      <w:r>
        <w:rPr>
          <w:rFonts w:hint="eastAsia" w:ascii="Times New Roman" w:hAnsi="Times New Roman" w:cs="Times New Roman"/>
          <w:bCs/>
          <w:sz w:val="28"/>
          <w:szCs w:val="28"/>
          <w:u w:val="single"/>
        </w:rPr>
        <w:t>分类和编码</w:t>
      </w:r>
      <w:r>
        <w:rPr>
          <w:rFonts w:hint="eastAsia" w:ascii="Times New Roman" w:hAnsi="Times New Roman"/>
          <w:bCs/>
          <w:sz w:val="28"/>
          <w:szCs w:val="28"/>
          <w:u w:val="single"/>
        </w:rPr>
        <w:t xml:space="preserve">                   </w:t>
      </w:r>
    </w:p>
    <w:p>
      <w:pPr>
        <w:spacing w:after="312" w:afterLines="100"/>
        <w:ind w:firstLine="565" w:firstLineChars="202"/>
        <w:rPr>
          <w:rFonts w:ascii="Times New Roman" w:hAnsi="Times New Roman"/>
          <w:bCs/>
          <w:color w:val="FF0000"/>
          <w:sz w:val="28"/>
          <w:szCs w:val="28"/>
        </w:rPr>
      </w:pPr>
      <w:r>
        <w:rPr>
          <w:rFonts w:hint="eastAsia" w:ascii="Times New Roman" w:hAnsi="Times New Roman"/>
          <w:bCs/>
          <w:sz w:val="28"/>
          <w:szCs w:val="28"/>
        </w:rPr>
        <w:t>行业</w:t>
      </w:r>
      <w:r>
        <w:rPr>
          <w:rFonts w:ascii="Times New Roman" w:hAnsi="Times New Roman"/>
          <w:bCs/>
          <w:sz w:val="28"/>
          <w:szCs w:val="28"/>
        </w:rPr>
        <w:t>标准项目</w:t>
      </w:r>
      <w:r>
        <w:rPr>
          <w:rFonts w:hint="eastAsia" w:ascii="Times New Roman" w:hAnsi="Times New Roman"/>
          <w:bCs/>
          <w:sz w:val="28"/>
          <w:szCs w:val="28"/>
        </w:rPr>
        <w:t>编号</w:t>
      </w:r>
      <w:r>
        <w:rPr>
          <w:rFonts w:ascii="Times New Roman" w:hAnsi="Times New Roman"/>
          <w:bCs/>
          <w:sz w:val="28"/>
          <w:szCs w:val="28"/>
        </w:rPr>
        <w:t>：</w:t>
      </w:r>
      <w:r>
        <w:rPr>
          <w:rFonts w:hint="eastAsia" w:ascii="Times New Roman" w:hAnsi="Times New Roman"/>
          <w:bCs/>
          <w:color w:val="000000" w:themeColor="text1"/>
          <w:sz w:val="28"/>
          <w:szCs w:val="28"/>
          <w:u w:val="single"/>
          <w14:textFill>
            <w14:solidFill>
              <w14:schemeClr w14:val="tx1"/>
            </w14:solidFill>
          </w14:textFill>
        </w:rPr>
        <w:t xml:space="preserve">  </w:t>
      </w:r>
      <w:r>
        <w:rPr>
          <w:rFonts w:ascii="Times New Roman" w:hAnsi="Times New Roman"/>
          <w:bCs/>
          <w:color w:val="000000" w:themeColor="text1"/>
          <w:sz w:val="28"/>
          <w:szCs w:val="28"/>
          <w:u w:val="single"/>
          <w14:textFill>
            <w14:solidFill>
              <w14:schemeClr w14:val="tx1"/>
            </w14:solidFill>
          </w14:textFill>
        </w:rPr>
        <w:t xml:space="preserve">      </w:t>
      </w:r>
      <w:r>
        <w:rPr>
          <w:rFonts w:ascii="Times New Roman" w:hAnsi="Times New Roman" w:cs="Times New Roman"/>
          <w:bCs/>
          <w:sz w:val="28"/>
          <w:szCs w:val="28"/>
          <w:u w:val="single"/>
        </w:rPr>
        <w:t xml:space="preserve"> </w:t>
      </w:r>
      <w:r>
        <w:rPr>
          <w:rFonts w:ascii="Times New Roman" w:hAnsi="Times New Roman"/>
          <w:bCs/>
          <w:color w:val="000000" w:themeColor="text1"/>
          <w:sz w:val="28"/>
          <w:szCs w:val="28"/>
          <w:u w:val="single"/>
          <w14:textFill>
            <w14:solidFill>
              <w14:schemeClr w14:val="tx1"/>
            </w14:solidFill>
          </w14:textFill>
        </w:rPr>
        <w:t xml:space="preserve"> </w:t>
      </w:r>
      <w:r>
        <w:rPr>
          <w:rFonts w:hint="eastAsia" w:ascii="Times New Roman" w:hAnsi="Times New Roman"/>
          <w:bCs/>
          <w:color w:val="000000" w:themeColor="text1"/>
          <w:sz w:val="28"/>
          <w:szCs w:val="28"/>
          <w:u w:val="single"/>
          <w14:textFill>
            <w14:solidFill>
              <w14:schemeClr w14:val="tx1"/>
            </w14:solidFill>
          </w14:textFill>
        </w:rPr>
        <w:t xml:space="preserve"> </w:t>
      </w:r>
      <w:r>
        <w:rPr>
          <w:rFonts w:hint="eastAsia" w:ascii="Times New Roman" w:hAnsi="Times New Roman" w:eastAsia="宋体"/>
          <w:bCs/>
          <w:color w:val="000000" w:themeColor="text1"/>
          <w:sz w:val="28"/>
          <w:szCs w:val="28"/>
          <w:u w:val="single"/>
          <w14:textFill>
            <w14:solidFill>
              <w14:schemeClr w14:val="tx1"/>
            </w14:solidFill>
          </w14:textFill>
        </w:rPr>
        <w:t xml:space="preserve">202232014   </w:t>
      </w:r>
      <w:r>
        <w:rPr>
          <w:rFonts w:hint="eastAsia" w:ascii="Times New Roman" w:hAnsi="Times New Roman"/>
          <w:bCs/>
          <w:color w:val="000000" w:themeColor="text1"/>
          <w:sz w:val="28"/>
          <w:szCs w:val="28"/>
          <w:u w:val="single"/>
          <w14:textFill>
            <w14:solidFill>
              <w14:schemeClr w14:val="tx1"/>
            </w14:solidFill>
          </w14:textFill>
        </w:rPr>
        <w:t xml:space="preserve">              </w:t>
      </w:r>
      <w:r>
        <w:rPr>
          <w:rFonts w:ascii="Times New Roman" w:hAnsi="Times New Roman"/>
          <w:bCs/>
          <w:color w:val="000000" w:themeColor="text1"/>
          <w:sz w:val="28"/>
          <w:szCs w:val="28"/>
          <w:u w:val="single"/>
          <w14:textFill>
            <w14:solidFill>
              <w14:schemeClr w14:val="tx1"/>
            </w14:solidFill>
          </w14:textFill>
        </w:rPr>
        <w:t xml:space="preserve">   </w:t>
      </w:r>
      <w:r>
        <w:rPr>
          <w:rFonts w:hint="eastAsia" w:ascii="Times New Roman" w:hAnsi="Times New Roman"/>
          <w:bCs/>
          <w:color w:val="000000" w:themeColor="text1"/>
          <w:sz w:val="28"/>
          <w:szCs w:val="28"/>
          <w:u w:val="single"/>
          <w14:textFill>
            <w14:solidFill>
              <w14:schemeClr w14:val="tx1"/>
            </w14:solidFill>
          </w14:textFill>
        </w:rPr>
        <w:t xml:space="preserve">  </w:t>
      </w:r>
    </w:p>
    <w:p>
      <w:pPr>
        <w:ind w:firstLine="565" w:firstLineChars="202"/>
        <w:rPr>
          <w:rFonts w:ascii="Times New Roman" w:hAnsi="Times New Roman"/>
          <w:sz w:val="28"/>
          <w:szCs w:val="28"/>
          <w:u w:val="single"/>
        </w:rPr>
      </w:pPr>
      <w:r>
        <w:rPr>
          <w:rFonts w:hint="eastAsia" w:ascii="Times New Roman" w:hAnsi="Times New Roman"/>
          <w:bCs/>
          <w:sz w:val="28"/>
          <w:szCs w:val="28"/>
        </w:rPr>
        <w:t>送审行业</w:t>
      </w:r>
      <w:r>
        <w:rPr>
          <w:rFonts w:ascii="Times New Roman" w:hAnsi="Times New Roman"/>
          <w:bCs/>
          <w:sz w:val="28"/>
          <w:szCs w:val="28"/>
        </w:rPr>
        <w:t>标准</w:t>
      </w:r>
      <w:r>
        <w:rPr>
          <w:rFonts w:hint="eastAsia" w:ascii="Times New Roman" w:hAnsi="Times New Roman"/>
          <w:bCs/>
          <w:sz w:val="28"/>
          <w:szCs w:val="28"/>
        </w:rPr>
        <w:t>名称</w:t>
      </w:r>
      <w:r>
        <w:rPr>
          <w:rFonts w:ascii="Times New Roman" w:hAnsi="Times New Roman"/>
          <w:bCs/>
          <w:sz w:val="28"/>
          <w:szCs w:val="28"/>
        </w:rPr>
        <w:t>：</w:t>
      </w:r>
      <w:r>
        <w:rPr>
          <w:rFonts w:hint="eastAsia" w:ascii="Times New Roman" w:hAnsi="Times New Roman"/>
          <w:bCs/>
          <w:sz w:val="28"/>
          <w:szCs w:val="28"/>
          <w:u w:val="single"/>
        </w:rPr>
        <w:t xml:space="preserve">   </w:t>
      </w:r>
      <w:r>
        <w:rPr>
          <w:rFonts w:hint="eastAsia" w:cs="Times New Roman"/>
          <w:bCs/>
          <w:sz w:val="28"/>
          <w:szCs w:val="28"/>
          <w:u w:val="single"/>
          <w:lang w:val="en-US" w:eastAsia="zh-CN"/>
        </w:rPr>
        <w:t xml:space="preserve"> </w:t>
      </w:r>
      <w:r>
        <w:rPr>
          <w:rFonts w:hint="eastAsia" w:ascii="Times New Roman" w:hAnsi="Times New Roman"/>
          <w:bCs/>
          <w:sz w:val="28"/>
          <w:szCs w:val="28"/>
          <w:u w:val="single"/>
        </w:rPr>
        <w:t xml:space="preserve">  </w:t>
      </w:r>
      <w:r>
        <w:rPr>
          <w:rFonts w:hint="eastAsia" w:ascii="Times New Roman" w:hAnsi="Times New Roman"/>
          <w:sz w:val="28"/>
          <w:szCs w:val="28"/>
          <w:u w:val="single"/>
        </w:rPr>
        <w:t xml:space="preserve">                                   </w:t>
      </w:r>
    </w:p>
    <w:p>
      <w:pPr>
        <w:ind w:firstLine="565" w:firstLineChars="202"/>
        <w:rPr>
          <w:rFonts w:ascii="Times New Roman" w:hAnsi="Times New Roman"/>
          <w:sz w:val="28"/>
          <w:szCs w:val="28"/>
        </w:rPr>
      </w:pPr>
      <w:r>
        <w:rPr>
          <w:rFonts w:hint="eastAsia" w:ascii="Times New Roman" w:hAnsi="Times New Roman"/>
          <w:sz w:val="28"/>
          <w:szCs w:val="28"/>
        </w:rPr>
        <w:t>（此栏送审时填写</w:t>
      </w:r>
      <w:r>
        <w:rPr>
          <w:rFonts w:ascii="Times New Roman" w:hAnsi="Times New Roman"/>
          <w:sz w:val="28"/>
          <w:szCs w:val="28"/>
        </w:rPr>
        <w:t>）</w:t>
      </w:r>
    </w:p>
    <w:p>
      <w:pPr>
        <w:ind w:firstLine="565" w:firstLineChars="202"/>
        <w:rPr>
          <w:rFonts w:ascii="Times New Roman" w:hAnsi="Times New Roman"/>
          <w:sz w:val="28"/>
          <w:szCs w:val="28"/>
          <w:u w:val="single"/>
        </w:rPr>
      </w:pPr>
      <w:r>
        <w:rPr>
          <w:rFonts w:hint="eastAsia" w:ascii="Times New Roman" w:hAnsi="Times New Roman"/>
          <w:sz w:val="28"/>
          <w:szCs w:val="28"/>
        </w:rPr>
        <w:t>报批行业</w:t>
      </w:r>
      <w:r>
        <w:rPr>
          <w:rFonts w:ascii="Times New Roman" w:hAnsi="Times New Roman"/>
          <w:sz w:val="28"/>
          <w:szCs w:val="28"/>
        </w:rPr>
        <w:t>标准</w:t>
      </w:r>
      <w:r>
        <w:rPr>
          <w:rFonts w:hint="eastAsia" w:ascii="Times New Roman" w:hAnsi="Times New Roman"/>
          <w:sz w:val="28"/>
          <w:szCs w:val="28"/>
        </w:rPr>
        <w:t>名称</w:t>
      </w:r>
      <w:r>
        <w:rPr>
          <w:rFonts w:ascii="Times New Roman" w:hAnsi="Times New Roman"/>
          <w:sz w:val="28"/>
          <w:szCs w:val="28"/>
        </w:rPr>
        <w:t>：</w:t>
      </w:r>
      <w:r>
        <w:rPr>
          <w:rFonts w:hint="eastAsia" w:ascii="Times New Roman" w:hAnsi="Times New Roman"/>
          <w:sz w:val="28"/>
          <w:szCs w:val="28"/>
          <w:u w:val="single"/>
        </w:rPr>
        <w:t xml:space="preserve">                                           </w:t>
      </w:r>
    </w:p>
    <w:p>
      <w:pPr>
        <w:spacing w:after="312" w:afterLines="100"/>
        <w:ind w:firstLine="565" w:firstLineChars="202"/>
        <w:rPr>
          <w:rFonts w:ascii="Times New Roman" w:hAnsi="Times New Roman"/>
          <w:sz w:val="28"/>
          <w:szCs w:val="28"/>
        </w:rPr>
      </w:pPr>
      <w:r>
        <w:rPr>
          <w:rFonts w:hint="eastAsia" w:ascii="Times New Roman" w:hAnsi="Times New Roman"/>
          <w:sz w:val="28"/>
          <w:szCs w:val="28"/>
        </w:rPr>
        <w:t>（此栏报批时填写</w:t>
      </w:r>
      <w:r>
        <w:rPr>
          <w:rFonts w:ascii="Times New Roman" w:hAnsi="Times New Roman"/>
          <w:sz w:val="28"/>
          <w:szCs w:val="28"/>
        </w:rPr>
        <w:t>）</w:t>
      </w:r>
    </w:p>
    <w:p>
      <w:pPr>
        <w:widowControl/>
        <w:ind w:firstLine="565" w:firstLineChars="202"/>
        <w:jc w:val="left"/>
        <w:rPr>
          <w:rFonts w:ascii="Times New Roman" w:hAnsi="Times New Roman"/>
          <w:sz w:val="28"/>
          <w:szCs w:val="28"/>
          <w:u w:val="single"/>
        </w:rPr>
      </w:pPr>
      <w:r>
        <w:rPr>
          <w:rFonts w:hint="eastAsia" w:ascii="Times New Roman" w:hAnsi="Times New Roman"/>
          <w:sz w:val="28"/>
          <w:szCs w:val="28"/>
        </w:rPr>
        <w:t>承担</w:t>
      </w:r>
      <w:r>
        <w:rPr>
          <w:rFonts w:ascii="Times New Roman" w:hAnsi="Times New Roman"/>
          <w:sz w:val="28"/>
          <w:szCs w:val="28"/>
        </w:rPr>
        <w:t>单位</w:t>
      </w:r>
      <w:r>
        <w:rPr>
          <w:rFonts w:hint="eastAsia" w:ascii="Times New Roman" w:hAnsi="Times New Roman"/>
          <w:sz w:val="28"/>
          <w:szCs w:val="28"/>
        </w:rPr>
        <w:t>：</w:t>
      </w:r>
      <w:r>
        <w:rPr>
          <w:rFonts w:hint="eastAsia"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自然资源部测绘标准化研究所</w:t>
      </w:r>
      <w:r>
        <w:rPr>
          <w:rFonts w:hint="eastAsia" w:ascii="Times New Roman" w:hAnsi="Times New Roman"/>
          <w:sz w:val="28"/>
          <w:szCs w:val="28"/>
          <w:u w:val="single"/>
        </w:rPr>
        <w:t xml:space="preserve">    </w:t>
      </w:r>
      <w:r>
        <w:rPr>
          <w:rFonts w:ascii="Times New Roman" w:hAnsi="Times New Roman"/>
          <w:sz w:val="28"/>
          <w:szCs w:val="28"/>
          <w:u w:val="single"/>
        </w:rPr>
        <w:t xml:space="preserve">   </w:t>
      </w:r>
      <w:r>
        <w:rPr>
          <w:rFonts w:hint="eastAsia" w:ascii="Times New Roman" w:hAnsi="Times New Roman"/>
          <w:sz w:val="28"/>
          <w:szCs w:val="28"/>
          <w:u w:val="single"/>
        </w:rPr>
        <w:t xml:space="preserve">                 </w:t>
      </w:r>
    </w:p>
    <w:p>
      <w:pPr>
        <w:widowControl/>
        <w:ind w:left="1950" w:leftChars="250" w:hanging="1200" w:hangingChars="500"/>
        <w:jc w:val="left"/>
        <w:rPr>
          <w:rFonts w:ascii="Times New Roman" w:hAnsi="Times New Roman" w:eastAsia="宋体" w:cs="宋体"/>
          <w:kern w:val="0"/>
          <w:sz w:val="24"/>
          <w:szCs w:val="24"/>
        </w:rPr>
      </w:pPr>
    </w:p>
    <w:p>
      <w:pPr>
        <w:ind w:firstLine="565" w:firstLineChars="202"/>
        <w:rPr>
          <w:rFonts w:ascii="Times New Roman" w:hAnsi="Times New Roman"/>
          <w:sz w:val="28"/>
          <w:szCs w:val="28"/>
          <w:u w:val="single"/>
        </w:rPr>
      </w:pPr>
      <w:r>
        <w:rPr>
          <w:rFonts w:hint="eastAsia" w:ascii="Times New Roman" w:hAnsi="Times New Roman"/>
          <w:sz w:val="28"/>
          <w:szCs w:val="28"/>
        </w:rPr>
        <w:t>当前</w:t>
      </w:r>
      <w:r>
        <w:rPr>
          <w:rFonts w:ascii="Times New Roman" w:hAnsi="Times New Roman"/>
          <w:sz w:val="28"/>
          <w:szCs w:val="28"/>
        </w:rPr>
        <w:t>阶段：</w:t>
      </w:r>
      <w:r>
        <w:rPr>
          <w:rFonts w:hint="eastAsia" w:ascii="Times New Roman" w:hAnsi="Times New Roman"/>
          <w:sz w:val="28"/>
          <w:szCs w:val="28"/>
          <w:u w:val="single"/>
        </w:rPr>
        <w:t xml:space="preserve">  </w:t>
      </w:r>
      <w:r>
        <w:rPr>
          <w:rFonts w:hint="eastAsia" w:ascii="Times New Roman" w:hAnsi="Times New Roman"/>
          <w:sz w:val="28"/>
          <w:szCs w:val="28"/>
          <w:u w:val="single"/>
          <w:lang w:eastAsia="zh-CN"/>
        </w:rPr>
        <w:t>☑</w:t>
      </w:r>
      <w:r>
        <w:rPr>
          <w:rFonts w:hint="eastAsia" w:ascii="Times New Roman" w:hAnsi="Times New Roman"/>
          <w:sz w:val="28"/>
          <w:szCs w:val="28"/>
          <w:u w:val="single"/>
        </w:rPr>
        <w:t>征求</w:t>
      </w:r>
      <w:r>
        <w:rPr>
          <w:rFonts w:ascii="Times New Roman" w:hAnsi="Times New Roman"/>
          <w:sz w:val="28"/>
          <w:szCs w:val="28"/>
          <w:u w:val="single"/>
        </w:rPr>
        <w:t>意见</w:t>
      </w:r>
      <w:r>
        <w:rPr>
          <w:rFonts w:hint="eastAsia" w:ascii="Times New Roman" w:hAnsi="Times New Roman"/>
          <w:sz w:val="28"/>
          <w:szCs w:val="28"/>
          <w:u w:val="single"/>
        </w:rPr>
        <w:t xml:space="preserve"> </w:t>
      </w:r>
      <w:r>
        <w:rPr>
          <w:rFonts w:ascii="Times New Roman" w:hAnsi="Times New Roman"/>
          <w:sz w:val="28"/>
          <w:szCs w:val="28"/>
          <w:u w:val="single"/>
        </w:rPr>
        <w:t xml:space="preserve">    </w:t>
      </w:r>
      <w:r>
        <w:rPr>
          <w:rFonts w:ascii="Times New Roman" w:hAnsi="Times New Roman"/>
          <w:sz w:val="28"/>
          <w:szCs w:val="28"/>
          <w:u w:val="single"/>
        </w:rPr>
        <w:fldChar w:fldCharType="begin"/>
      </w:r>
      <w:r>
        <w:rPr>
          <w:rFonts w:ascii="Times New Roman" w:hAnsi="Times New Roman"/>
          <w:sz w:val="28"/>
          <w:szCs w:val="28"/>
          <w:u w:val="single"/>
        </w:rPr>
        <w:instrText xml:space="preserve"> </w:instrText>
      </w:r>
      <w:r>
        <w:rPr>
          <w:rFonts w:hint="eastAsia" w:ascii="Times New Roman" w:hAnsi="Times New Roman"/>
          <w:sz w:val="28"/>
          <w:szCs w:val="28"/>
          <w:u w:val="single"/>
        </w:rPr>
        <w:instrText xml:space="preserve">eq \o\ac(□)</w:instrText>
      </w:r>
      <w:r>
        <w:rPr>
          <w:rFonts w:ascii="Times New Roman" w:hAnsi="Times New Roman"/>
          <w:sz w:val="28"/>
          <w:szCs w:val="28"/>
          <w:u w:val="single"/>
        </w:rPr>
        <w:fldChar w:fldCharType="end"/>
      </w:r>
      <w:r>
        <w:rPr>
          <w:rFonts w:hint="eastAsia" w:ascii="Times New Roman" w:hAnsi="Times New Roman"/>
          <w:sz w:val="28"/>
          <w:szCs w:val="28"/>
          <w:u w:val="single"/>
        </w:rPr>
        <w:t>送审稿审查    □报批稿</w:t>
      </w:r>
      <w:r>
        <w:rPr>
          <w:rFonts w:ascii="Times New Roman" w:hAnsi="Times New Roman"/>
          <w:sz w:val="28"/>
          <w:szCs w:val="28"/>
          <w:u w:val="single"/>
        </w:rPr>
        <w:t>报批</w:t>
      </w:r>
    </w:p>
    <w:p>
      <w:pPr>
        <w:ind w:firstLine="565" w:firstLineChars="202"/>
        <w:rPr>
          <w:rFonts w:ascii="Times New Roman" w:hAnsi="Times New Roman"/>
          <w:sz w:val="28"/>
          <w:szCs w:val="28"/>
        </w:rPr>
      </w:pPr>
    </w:p>
    <w:p>
      <w:pPr>
        <w:jc w:val="left"/>
        <w:rPr>
          <w:rFonts w:ascii="Times New Roman" w:hAnsi="Times New Roman"/>
          <w:sz w:val="28"/>
          <w:szCs w:val="28"/>
          <w:u w:val="single"/>
        </w:rPr>
      </w:pPr>
      <w:r>
        <w:rPr>
          <w:rFonts w:hint="eastAsia" w:ascii="Times New Roman" w:hAnsi="Times New Roman"/>
          <w:sz w:val="28"/>
          <w:szCs w:val="28"/>
        </w:rPr>
        <w:t>编制</w:t>
      </w:r>
      <w:r>
        <w:rPr>
          <w:rFonts w:ascii="Times New Roman" w:hAnsi="Times New Roman"/>
          <w:sz w:val="28"/>
          <w:szCs w:val="28"/>
        </w:rPr>
        <w:t>时间：</w:t>
      </w:r>
      <w:r>
        <w:rPr>
          <w:rFonts w:hint="eastAsia" w:ascii="Times New Roman" w:hAnsi="Times New Roman"/>
          <w:sz w:val="28"/>
          <w:szCs w:val="28"/>
          <w:u w:val="single"/>
        </w:rPr>
        <w:t xml:space="preserve">  </w:t>
      </w:r>
      <w:r>
        <w:rPr>
          <w:rFonts w:ascii="Times New Roman" w:hAnsi="Times New Roman"/>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hint="eastAsia" w:eastAsia="宋体"/>
          <w:sz w:val="28"/>
          <w:szCs w:val="28"/>
          <w:u w:val="single"/>
          <w:lang w:val="en-US" w:eastAsia="zh-CN"/>
        </w:rPr>
        <w:t xml:space="preserve">           </w:t>
      </w:r>
      <w:r>
        <w:rPr>
          <w:rFonts w:ascii="Times New Roman" w:hAnsi="Times New Roman" w:eastAsia="宋体"/>
          <w:sz w:val="28"/>
          <w:szCs w:val="28"/>
          <w:u w:val="single"/>
        </w:rPr>
        <w:t>202</w:t>
      </w:r>
      <w:r>
        <w:rPr>
          <w:rFonts w:hint="eastAsia" w:eastAsia="宋体"/>
          <w:sz w:val="28"/>
          <w:szCs w:val="28"/>
          <w:u w:val="single"/>
          <w:lang w:val="en-US" w:eastAsia="zh-CN"/>
        </w:rPr>
        <w:t>5</w:t>
      </w:r>
      <w:r>
        <w:rPr>
          <w:rFonts w:hint="eastAsia" w:ascii="Times New Roman" w:hAnsi="Times New Roman"/>
          <w:sz w:val="28"/>
          <w:szCs w:val="28"/>
          <w:u w:val="single"/>
        </w:rPr>
        <w:t>年</w:t>
      </w:r>
      <w:r>
        <w:rPr>
          <w:rFonts w:hint="eastAsia" w:eastAsia="宋体"/>
          <w:sz w:val="28"/>
          <w:szCs w:val="28"/>
          <w:u w:val="single"/>
          <w:lang w:val="en-US" w:eastAsia="zh-CN"/>
        </w:rPr>
        <w:t>4</w:t>
      </w:r>
      <w:r>
        <w:rPr>
          <w:rFonts w:hint="eastAsia" w:ascii="Times New Roman" w:hAnsi="Times New Roman"/>
          <w:sz w:val="28"/>
          <w:szCs w:val="28"/>
          <w:u w:val="single"/>
        </w:rPr>
        <w:t>月</w:t>
      </w:r>
      <w:r>
        <w:rPr>
          <w:rFonts w:ascii="Times New Roman" w:hAnsi="Times New Roman"/>
          <w:sz w:val="28"/>
          <w:szCs w:val="28"/>
          <w:u w:val="single"/>
        </w:rPr>
        <w:t xml:space="preserve"> </w:t>
      </w:r>
      <w:r>
        <w:rPr>
          <w:rFonts w:hint="eastAsia"/>
          <w:sz w:val="28"/>
          <w:szCs w:val="28"/>
          <w:u w:val="single"/>
          <w:lang w:val="en-US" w:eastAsia="zh-CN"/>
        </w:rPr>
        <w:t xml:space="preserve">           </w:t>
      </w:r>
      <w:r>
        <w:rPr>
          <w:rFonts w:ascii="Times New Roman" w:hAnsi="Times New Roman"/>
          <w:sz w:val="28"/>
          <w:szCs w:val="28"/>
          <w:u w:val="single"/>
        </w:rPr>
        <w:t xml:space="preserve"> </w:t>
      </w:r>
      <w:r>
        <w:rPr>
          <w:rFonts w:hint="eastAsia" w:ascii="Times New Roman" w:hAnsi="Times New Roman"/>
          <w:sz w:val="28"/>
          <w:szCs w:val="28"/>
          <w:u w:val="single"/>
        </w:rPr>
        <w:t xml:space="preserve">  </w:t>
      </w:r>
    </w:p>
    <w:p>
      <w:pPr>
        <w:widowControl/>
        <w:ind w:firstLine="560"/>
        <w:jc w:val="left"/>
        <w:rPr>
          <w:rFonts w:ascii="Times New Roman" w:hAnsi="Times New Roman"/>
          <w:sz w:val="28"/>
          <w:szCs w:val="28"/>
        </w:rPr>
      </w:pPr>
      <w:r>
        <w:rPr>
          <w:rFonts w:ascii="Times New Roman" w:hAnsi="Times New Roman"/>
          <w:sz w:val="28"/>
          <w:szCs w:val="28"/>
        </w:rPr>
        <w:br w:type="page"/>
      </w:r>
    </w:p>
    <w:p>
      <w:pPr>
        <w:widowControl/>
        <w:ind w:firstLine="560"/>
        <w:jc w:val="left"/>
        <w:rPr>
          <w:rFonts w:ascii="Times New Roman" w:hAnsi="Times New Roman"/>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start="1"/>
          <w:cols w:space="425" w:num="1"/>
          <w:titlePg/>
          <w:docGrid w:type="lines" w:linePitch="312" w:charSpace="0"/>
        </w:sectPr>
      </w:pPr>
    </w:p>
    <w:sdt>
      <w:sdtPr>
        <w:rPr>
          <w:rFonts w:eastAsia="仿宋" w:asciiTheme="minorHAnsi" w:hAnsiTheme="minorHAnsi" w:cstheme="minorBidi"/>
          <w:color w:val="auto"/>
          <w:kern w:val="2"/>
          <w:sz w:val="30"/>
          <w:szCs w:val="22"/>
          <w:lang w:val="zh-CN"/>
        </w:rPr>
        <w:id w:val="-1862120724"/>
        <w:docPartObj>
          <w:docPartGallery w:val="Table of Contents"/>
          <w:docPartUnique/>
        </w:docPartObj>
      </w:sdtPr>
      <w:sdtEndPr>
        <w:rPr>
          <w:rFonts w:eastAsia="仿宋" w:asciiTheme="minorHAnsi" w:hAnsiTheme="minorHAnsi" w:cstheme="minorBidi"/>
          <w:b/>
          <w:bCs/>
          <w:color w:val="auto"/>
          <w:kern w:val="2"/>
          <w:sz w:val="30"/>
          <w:szCs w:val="22"/>
          <w:lang w:val="zh-CN"/>
        </w:rPr>
      </w:sdtEndPr>
      <w:sdtContent>
        <w:p>
          <w:pPr>
            <w:pStyle w:val="25"/>
            <w:keepNext/>
            <w:keepLines/>
            <w:pageBreakBefore w:val="0"/>
            <w:widowControl/>
            <w:kinsoku/>
            <w:wordWrap/>
            <w:overflowPunct/>
            <w:topLinePunct w:val="0"/>
            <w:autoSpaceDE/>
            <w:autoSpaceDN/>
            <w:bidi w:val="0"/>
            <w:adjustRightInd/>
            <w:snapToGrid/>
            <w:spacing w:before="0" w:line="240" w:lineRule="auto"/>
            <w:ind w:firstLine="0"/>
            <w:jc w:val="center"/>
            <w:textAlignment w:val="auto"/>
            <w:rPr>
              <w:rFonts w:ascii="黑体" w:hAnsi="黑体" w:eastAsia="黑体"/>
              <w:color w:val="auto"/>
            </w:rPr>
          </w:pPr>
          <w:r>
            <w:rPr>
              <w:rFonts w:ascii="黑体" w:hAnsi="黑体" w:eastAsia="黑体"/>
              <w:color w:val="auto"/>
              <w:lang w:val="zh-CN"/>
            </w:rPr>
            <w:t>目</w:t>
          </w:r>
          <w:r>
            <w:rPr>
              <w:rFonts w:hint="eastAsia" w:ascii="黑体" w:hAnsi="黑体" w:eastAsia="黑体"/>
              <w:color w:val="auto"/>
              <w:lang w:val="en-US" w:eastAsia="zh-CN"/>
            </w:rPr>
            <w:t xml:space="preserve">  </w:t>
          </w:r>
          <w:r>
            <w:rPr>
              <w:rFonts w:ascii="黑体" w:hAnsi="黑体" w:eastAsia="黑体"/>
              <w:color w:val="auto"/>
              <w:lang w:val="zh-CN"/>
            </w:rPr>
            <w:t>录</w:t>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ascii="仿宋" w:hAnsi="仿宋" w:eastAsia="仿宋"/>
              <w:sz w:val="26"/>
              <w:szCs w:val="26"/>
            </w:rPr>
            <w:fldChar w:fldCharType="begin"/>
          </w:r>
          <w:r>
            <w:rPr>
              <w:rFonts w:ascii="仿宋" w:hAnsi="仿宋" w:eastAsia="仿宋"/>
              <w:sz w:val="26"/>
              <w:szCs w:val="26"/>
            </w:rPr>
            <w:instrText xml:space="preserve"> TOC \o "1-3" \h \z \u </w:instrText>
          </w:r>
          <w:r>
            <w:rPr>
              <w:rFonts w:ascii="仿宋" w:hAnsi="仿宋" w:eastAsia="仿宋"/>
              <w:sz w:val="26"/>
              <w:szCs w:val="26"/>
            </w:rPr>
            <w:fldChar w:fldCharType="separate"/>
          </w: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_Toc29948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一、</w:t>
          </w:r>
          <w:r>
            <w:rPr>
              <w:rFonts w:hint="eastAsia" w:ascii="仿宋" w:hAnsi="仿宋" w:eastAsia="仿宋" w:cs="仿宋"/>
              <w:sz w:val="26"/>
              <w:szCs w:val="26"/>
            </w:rPr>
            <w:t>工作</w:t>
          </w:r>
          <w:r>
            <w:rPr>
              <w:rFonts w:hint="eastAsia" w:ascii="仿宋" w:hAnsi="仿宋" w:eastAsia="仿宋" w:cs="仿宋"/>
              <w:sz w:val="26"/>
              <w:szCs w:val="26"/>
              <w:lang w:val="en-US" w:eastAsia="zh-CN"/>
            </w:rPr>
            <w:t>简</w:t>
          </w:r>
          <w:r>
            <w:rPr>
              <w:rFonts w:hint="eastAsia" w:ascii="仿宋" w:hAnsi="仿宋" w:eastAsia="仿宋" w:cs="仿宋"/>
              <w:sz w:val="26"/>
              <w:szCs w:val="26"/>
            </w:rPr>
            <w:t>况</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_Toc29948 \h </w:instrText>
          </w:r>
          <w:r>
            <w:rPr>
              <w:rFonts w:hint="eastAsia" w:ascii="仿宋" w:hAnsi="仿宋" w:eastAsia="仿宋" w:cs="仿宋"/>
              <w:sz w:val="26"/>
              <w:szCs w:val="26"/>
            </w:rPr>
            <w:fldChar w:fldCharType="separate"/>
          </w:r>
          <w:r>
            <w:rPr>
              <w:rFonts w:hint="eastAsia" w:ascii="仿宋" w:hAnsi="仿宋" w:eastAsia="仿宋" w:cs="仿宋"/>
              <w:sz w:val="26"/>
              <w:szCs w:val="26"/>
            </w:rPr>
            <w:t>1</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3"/>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_Toc10793 </w:instrText>
          </w:r>
          <w:r>
            <w:rPr>
              <w:rFonts w:hint="eastAsia" w:ascii="仿宋" w:hAnsi="仿宋" w:eastAsia="仿宋" w:cs="仿宋"/>
              <w:bCs/>
              <w:sz w:val="26"/>
              <w:szCs w:val="26"/>
              <w:lang w:val="zh-CN"/>
            </w:rPr>
            <w:fldChar w:fldCharType="separate"/>
          </w:r>
          <w:r>
            <w:rPr>
              <w:rFonts w:hint="eastAsia" w:ascii="仿宋" w:hAnsi="仿宋" w:eastAsia="仿宋" w:cs="仿宋"/>
              <w:sz w:val="26"/>
              <w:szCs w:val="26"/>
              <w:lang w:val="en-US" w:eastAsia="zh-CN"/>
            </w:rPr>
            <w:t>1.任务来源</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_Toc10793 \h </w:instrText>
          </w:r>
          <w:r>
            <w:rPr>
              <w:rFonts w:hint="eastAsia" w:ascii="仿宋" w:hAnsi="仿宋" w:eastAsia="仿宋" w:cs="仿宋"/>
              <w:sz w:val="26"/>
              <w:szCs w:val="26"/>
            </w:rPr>
            <w:fldChar w:fldCharType="separate"/>
          </w:r>
          <w:r>
            <w:rPr>
              <w:rFonts w:hint="eastAsia" w:ascii="仿宋" w:hAnsi="仿宋" w:eastAsia="仿宋" w:cs="仿宋"/>
              <w:sz w:val="26"/>
              <w:szCs w:val="26"/>
            </w:rPr>
            <w:t>1</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3"/>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_Toc12536 </w:instrText>
          </w:r>
          <w:r>
            <w:rPr>
              <w:rFonts w:hint="eastAsia" w:ascii="仿宋" w:hAnsi="仿宋" w:eastAsia="仿宋" w:cs="仿宋"/>
              <w:bCs/>
              <w:sz w:val="26"/>
              <w:szCs w:val="26"/>
              <w:lang w:val="zh-CN"/>
            </w:rPr>
            <w:fldChar w:fldCharType="separate"/>
          </w:r>
          <w:r>
            <w:rPr>
              <w:rFonts w:hint="eastAsia" w:ascii="仿宋" w:hAnsi="仿宋" w:eastAsia="仿宋" w:cs="仿宋"/>
              <w:sz w:val="26"/>
              <w:szCs w:val="26"/>
              <w:lang w:val="en-US" w:eastAsia="zh-CN"/>
            </w:rPr>
            <w:t>2.制定背景</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_Toc12536 \h </w:instrText>
          </w:r>
          <w:r>
            <w:rPr>
              <w:rFonts w:hint="eastAsia" w:ascii="仿宋" w:hAnsi="仿宋" w:eastAsia="仿宋" w:cs="仿宋"/>
              <w:sz w:val="26"/>
              <w:szCs w:val="26"/>
            </w:rPr>
            <w:fldChar w:fldCharType="separate"/>
          </w:r>
          <w:r>
            <w:rPr>
              <w:rFonts w:hint="eastAsia" w:ascii="仿宋" w:hAnsi="仿宋" w:eastAsia="仿宋" w:cs="仿宋"/>
              <w:sz w:val="26"/>
              <w:szCs w:val="26"/>
            </w:rPr>
            <w:t>1</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3"/>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_Toc25787 </w:instrText>
          </w:r>
          <w:r>
            <w:rPr>
              <w:rFonts w:hint="eastAsia" w:ascii="仿宋" w:hAnsi="仿宋" w:eastAsia="仿宋" w:cs="仿宋"/>
              <w:bCs/>
              <w:sz w:val="26"/>
              <w:szCs w:val="26"/>
              <w:lang w:val="zh-CN"/>
            </w:rPr>
            <w:fldChar w:fldCharType="separate"/>
          </w:r>
          <w:r>
            <w:rPr>
              <w:rFonts w:hint="eastAsia" w:ascii="仿宋" w:hAnsi="仿宋" w:eastAsia="仿宋" w:cs="仿宋"/>
              <w:sz w:val="26"/>
              <w:szCs w:val="26"/>
              <w:lang w:val="en-US" w:eastAsia="zh-CN"/>
            </w:rPr>
            <w:t>3.起草单位及主要起草人</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_Toc25787 \h </w:instrText>
          </w:r>
          <w:r>
            <w:rPr>
              <w:rFonts w:hint="eastAsia" w:ascii="仿宋" w:hAnsi="仿宋" w:eastAsia="仿宋" w:cs="仿宋"/>
              <w:sz w:val="26"/>
              <w:szCs w:val="26"/>
            </w:rPr>
            <w:fldChar w:fldCharType="separate"/>
          </w:r>
          <w:r>
            <w:rPr>
              <w:rFonts w:hint="eastAsia" w:ascii="仿宋" w:hAnsi="仿宋" w:eastAsia="仿宋" w:cs="仿宋"/>
              <w:sz w:val="26"/>
              <w:szCs w:val="26"/>
            </w:rPr>
            <w:t>2</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3"/>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_Toc32591 </w:instrText>
          </w:r>
          <w:r>
            <w:rPr>
              <w:rFonts w:hint="eastAsia" w:ascii="仿宋" w:hAnsi="仿宋" w:eastAsia="仿宋" w:cs="仿宋"/>
              <w:bCs/>
              <w:sz w:val="26"/>
              <w:szCs w:val="26"/>
              <w:lang w:val="zh-CN"/>
            </w:rPr>
            <w:fldChar w:fldCharType="separate"/>
          </w:r>
          <w:r>
            <w:rPr>
              <w:rFonts w:hint="eastAsia" w:ascii="仿宋" w:hAnsi="仿宋" w:eastAsia="仿宋" w:cs="仿宋"/>
              <w:sz w:val="26"/>
              <w:szCs w:val="26"/>
              <w:lang w:val="en-US" w:eastAsia="zh-CN"/>
            </w:rPr>
            <w:t>4.主要工作过程</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_Toc32591 \h </w:instrText>
          </w:r>
          <w:r>
            <w:rPr>
              <w:rFonts w:hint="eastAsia" w:ascii="仿宋" w:hAnsi="仿宋" w:eastAsia="仿宋" w:cs="仿宋"/>
              <w:sz w:val="26"/>
              <w:szCs w:val="26"/>
            </w:rPr>
            <w:fldChar w:fldCharType="separate"/>
          </w:r>
          <w:r>
            <w:rPr>
              <w:rFonts w:hint="eastAsia" w:ascii="仿宋" w:hAnsi="仿宋" w:eastAsia="仿宋" w:cs="仿宋"/>
              <w:sz w:val="26"/>
              <w:szCs w:val="26"/>
            </w:rPr>
            <w:t>3</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_Toc8875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二、</w:t>
          </w:r>
          <w:r>
            <w:rPr>
              <w:rFonts w:hint="eastAsia" w:ascii="仿宋" w:hAnsi="仿宋" w:eastAsia="仿宋" w:cs="仿宋"/>
              <w:sz w:val="26"/>
              <w:szCs w:val="26"/>
            </w:rPr>
            <w:t>标准编制原则、主要内容及其确定依据</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_Toc8875 \h </w:instrText>
          </w:r>
          <w:r>
            <w:rPr>
              <w:rFonts w:hint="eastAsia" w:ascii="仿宋" w:hAnsi="仿宋" w:eastAsia="仿宋" w:cs="仿宋"/>
              <w:sz w:val="26"/>
              <w:szCs w:val="26"/>
            </w:rPr>
            <w:fldChar w:fldCharType="separate"/>
          </w:r>
          <w:r>
            <w:rPr>
              <w:rFonts w:hint="eastAsia" w:ascii="仿宋" w:hAnsi="仿宋" w:eastAsia="仿宋" w:cs="仿宋"/>
              <w:sz w:val="26"/>
              <w:szCs w:val="26"/>
            </w:rPr>
            <w:t>7</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3"/>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_Toc24897 </w:instrText>
          </w:r>
          <w:r>
            <w:rPr>
              <w:rFonts w:hint="eastAsia" w:ascii="仿宋" w:hAnsi="仿宋" w:eastAsia="仿宋" w:cs="仿宋"/>
              <w:bCs/>
              <w:sz w:val="26"/>
              <w:szCs w:val="26"/>
              <w:lang w:val="zh-CN"/>
            </w:rPr>
            <w:fldChar w:fldCharType="separate"/>
          </w:r>
          <w:r>
            <w:rPr>
              <w:rFonts w:hint="eastAsia" w:ascii="仿宋" w:hAnsi="仿宋" w:eastAsia="仿宋" w:cs="仿宋"/>
              <w:sz w:val="26"/>
              <w:szCs w:val="26"/>
              <w:lang w:val="en-US" w:eastAsia="zh-CN"/>
            </w:rPr>
            <w:t>2.1.标准制定原则</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_Toc24897 \h </w:instrText>
          </w:r>
          <w:r>
            <w:rPr>
              <w:rFonts w:hint="eastAsia" w:ascii="仿宋" w:hAnsi="仿宋" w:eastAsia="仿宋" w:cs="仿宋"/>
              <w:sz w:val="26"/>
              <w:szCs w:val="26"/>
            </w:rPr>
            <w:fldChar w:fldCharType="separate"/>
          </w:r>
          <w:r>
            <w:rPr>
              <w:rFonts w:hint="eastAsia" w:ascii="仿宋" w:hAnsi="仿宋" w:eastAsia="仿宋" w:cs="仿宋"/>
              <w:sz w:val="26"/>
              <w:szCs w:val="26"/>
            </w:rPr>
            <w:t>7</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3"/>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_Toc26036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2.2主要内容及其确定依据</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_Toc26036 \h </w:instrText>
          </w:r>
          <w:r>
            <w:rPr>
              <w:rFonts w:hint="eastAsia" w:ascii="仿宋" w:hAnsi="仿宋" w:eastAsia="仿宋" w:cs="仿宋"/>
              <w:sz w:val="26"/>
              <w:szCs w:val="26"/>
            </w:rPr>
            <w:fldChar w:fldCharType="separate"/>
          </w:r>
          <w:r>
            <w:rPr>
              <w:rFonts w:hint="eastAsia" w:ascii="仿宋" w:hAnsi="仿宋" w:eastAsia="仿宋" w:cs="仿宋"/>
              <w:sz w:val="26"/>
              <w:szCs w:val="26"/>
            </w:rPr>
            <w:t>8</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_Toc23684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三、</w:t>
          </w:r>
          <w:r>
            <w:rPr>
              <w:rFonts w:hint="eastAsia" w:ascii="仿宋" w:hAnsi="仿宋" w:eastAsia="仿宋" w:cs="仿宋"/>
              <w:sz w:val="26"/>
              <w:szCs w:val="26"/>
              <w:lang w:eastAsia="zh-CN"/>
            </w:rPr>
            <w:t>试验验证的分析、综述报告，技术经济论证，预期的经济效益、社会效益和生态效益</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_Toc23684 \h </w:instrText>
          </w:r>
          <w:r>
            <w:rPr>
              <w:rFonts w:hint="eastAsia" w:ascii="仿宋" w:hAnsi="仿宋" w:eastAsia="仿宋" w:cs="仿宋"/>
              <w:sz w:val="26"/>
              <w:szCs w:val="26"/>
            </w:rPr>
            <w:fldChar w:fldCharType="separate"/>
          </w:r>
          <w:r>
            <w:rPr>
              <w:rFonts w:hint="eastAsia" w:ascii="仿宋" w:hAnsi="仿宋" w:eastAsia="仿宋" w:cs="仿宋"/>
              <w:sz w:val="26"/>
              <w:szCs w:val="26"/>
            </w:rPr>
            <w:t>27</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_Toc9433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四、</w:t>
          </w:r>
          <w:r>
            <w:rPr>
              <w:rFonts w:hint="eastAsia" w:ascii="仿宋" w:hAnsi="仿宋" w:eastAsia="仿宋" w:cs="仿宋"/>
              <w:sz w:val="26"/>
              <w:szCs w:val="26"/>
            </w:rPr>
            <w:t>采用国际标准和国外先进标准的程度，以及与国际、国外同类标准水平的对比情况，或与测试的国外样品、样机的有关数据对比情况</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_Toc9433 \h </w:instrText>
          </w:r>
          <w:r>
            <w:rPr>
              <w:rFonts w:hint="eastAsia" w:ascii="仿宋" w:hAnsi="仿宋" w:eastAsia="仿宋" w:cs="仿宋"/>
              <w:sz w:val="26"/>
              <w:szCs w:val="26"/>
            </w:rPr>
            <w:fldChar w:fldCharType="separate"/>
          </w:r>
          <w:r>
            <w:rPr>
              <w:rFonts w:hint="eastAsia" w:ascii="仿宋" w:hAnsi="仿宋" w:eastAsia="仿宋" w:cs="仿宋"/>
              <w:sz w:val="26"/>
              <w:szCs w:val="26"/>
            </w:rPr>
            <w:t>27</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_Toc28456 </w:instrText>
          </w:r>
          <w:r>
            <w:rPr>
              <w:rFonts w:hint="eastAsia" w:ascii="仿宋" w:hAnsi="仿宋" w:eastAsia="仿宋" w:cs="仿宋"/>
              <w:bCs/>
              <w:sz w:val="26"/>
              <w:szCs w:val="26"/>
              <w:lang w:val="zh-CN"/>
            </w:rPr>
            <w:fldChar w:fldCharType="separate"/>
          </w:r>
          <w:r>
            <w:rPr>
              <w:rFonts w:hint="eastAsia" w:ascii="仿宋" w:hAnsi="仿宋" w:eastAsia="仿宋" w:cs="仿宋"/>
              <w:bCs w:val="0"/>
              <w:kern w:val="2"/>
              <w:sz w:val="26"/>
              <w:szCs w:val="26"/>
              <w:lang w:val="en-US" w:eastAsia="zh-CN" w:bidi="ar-SA"/>
            </w:rPr>
            <w:t>五、</w:t>
          </w:r>
          <w:r>
            <w:rPr>
              <w:rFonts w:hint="eastAsia" w:ascii="仿宋" w:hAnsi="仿宋" w:eastAsia="仿宋" w:cs="仿宋"/>
              <w:bCs w:val="0"/>
              <w:sz w:val="26"/>
              <w:szCs w:val="26"/>
            </w:rPr>
            <w:t>以国际标准为基础的起草情况，以及是否合规引用或者采用国际国外标准，并说明未采用国际标准的原因；</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_Toc28456 \h </w:instrText>
          </w:r>
          <w:r>
            <w:rPr>
              <w:rFonts w:hint="eastAsia" w:ascii="仿宋" w:hAnsi="仿宋" w:eastAsia="仿宋" w:cs="仿宋"/>
              <w:sz w:val="26"/>
              <w:szCs w:val="26"/>
            </w:rPr>
            <w:fldChar w:fldCharType="separate"/>
          </w:r>
          <w:r>
            <w:rPr>
              <w:rFonts w:hint="eastAsia" w:ascii="仿宋" w:hAnsi="仿宋" w:eastAsia="仿宋" w:cs="仿宋"/>
              <w:sz w:val="26"/>
              <w:szCs w:val="26"/>
            </w:rPr>
            <w:t>27</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_Toc22789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六、</w:t>
          </w:r>
          <w:r>
            <w:rPr>
              <w:rFonts w:hint="eastAsia" w:ascii="仿宋" w:hAnsi="仿宋" w:eastAsia="仿宋" w:cs="仿宋"/>
              <w:sz w:val="26"/>
              <w:szCs w:val="26"/>
            </w:rPr>
            <w:t>与有关的现行法律、法规和强制性标准的关系</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_Toc22789 \h </w:instrText>
          </w:r>
          <w:r>
            <w:rPr>
              <w:rFonts w:hint="eastAsia" w:ascii="仿宋" w:hAnsi="仿宋" w:eastAsia="仿宋" w:cs="仿宋"/>
              <w:sz w:val="26"/>
              <w:szCs w:val="26"/>
            </w:rPr>
            <w:fldChar w:fldCharType="separate"/>
          </w:r>
          <w:r>
            <w:rPr>
              <w:rFonts w:hint="eastAsia" w:ascii="仿宋" w:hAnsi="仿宋" w:eastAsia="仿宋" w:cs="仿宋"/>
              <w:sz w:val="26"/>
              <w:szCs w:val="26"/>
            </w:rPr>
            <w:t>28</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_Toc26883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七、</w:t>
          </w:r>
          <w:r>
            <w:rPr>
              <w:rFonts w:hint="eastAsia" w:ascii="仿宋" w:hAnsi="仿宋" w:eastAsia="仿宋" w:cs="仿宋"/>
              <w:sz w:val="26"/>
              <w:szCs w:val="26"/>
            </w:rPr>
            <w:t>重大分歧意见的处理经过和依据</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_Toc26883 \h </w:instrText>
          </w:r>
          <w:r>
            <w:rPr>
              <w:rFonts w:hint="eastAsia" w:ascii="仿宋" w:hAnsi="仿宋" w:eastAsia="仿宋" w:cs="仿宋"/>
              <w:sz w:val="26"/>
              <w:szCs w:val="26"/>
            </w:rPr>
            <w:fldChar w:fldCharType="separate"/>
          </w:r>
          <w:r>
            <w:rPr>
              <w:rFonts w:hint="eastAsia" w:ascii="仿宋" w:hAnsi="仿宋" w:eastAsia="仿宋" w:cs="仿宋"/>
              <w:sz w:val="26"/>
              <w:szCs w:val="26"/>
            </w:rPr>
            <w:t>28</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_Toc6269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八、</w:t>
          </w:r>
          <w:r>
            <w:rPr>
              <w:rFonts w:hint="eastAsia" w:ascii="仿宋" w:hAnsi="仿宋" w:eastAsia="仿宋" w:cs="仿宋"/>
              <w:sz w:val="26"/>
              <w:szCs w:val="26"/>
            </w:rPr>
            <w:t>涉及专利的有关说明</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_Toc6269 \h </w:instrText>
          </w:r>
          <w:r>
            <w:rPr>
              <w:rFonts w:hint="eastAsia" w:ascii="仿宋" w:hAnsi="仿宋" w:eastAsia="仿宋" w:cs="仿宋"/>
              <w:sz w:val="26"/>
              <w:szCs w:val="26"/>
            </w:rPr>
            <w:fldChar w:fldCharType="separate"/>
          </w:r>
          <w:r>
            <w:rPr>
              <w:rFonts w:hint="eastAsia" w:ascii="仿宋" w:hAnsi="仿宋" w:eastAsia="仿宋" w:cs="仿宋"/>
              <w:sz w:val="26"/>
              <w:szCs w:val="26"/>
            </w:rPr>
            <w:t>28</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rPr>
              <w:rFonts w:hint="eastAsia" w:ascii="仿宋" w:hAnsi="仿宋" w:eastAsia="仿宋" w:cs="仿宋"/>
              <w:sz w:val="26"/>
              <w:szCs w:val="26"/>
            </w:rPr>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_Toc21285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九、</w:t>
          </w:r>
          <w:r>
            <w:rPr>
              <w:rFonts w:hint="eastAsia" w:ascii="仿宋" w:hAnsi="仿宋" w:eastAsia="仿宋" w:cs="仿宋"/>
              <w:sz w:val="26"/>
              <w:szCs w:val="26"/>
            </w:rPr>
            <w:t>实施标准的要求，以及组织措施、技术措施、过渡期和实施日期的建议等措施建议</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_Toc21285 \h </w:instrText>
          </w:r>
          <w:r>
            <w:rPr>
              <w:rFonts w:hint="eastAsia" w:ascii="仿宋" w:hAnsi="仿宋" w:eastAsia="仿宋" w:cs="仿宋"/>
              <w:sz w:val="26"/>
              <w:szCs w:val="26"/>
            </w:rPr>
            <w:fldChar w:fldCharType="separate"/>
          </w:r>
          <w:r>
            <w:rPr>
              <w:rFonts w:hint="eastAsia" w:ascii="仿宋" w:hAnsi="仿宋" w:eastAsia="仿宋" w:cs="仿宋"/>
              <w:sz w:val="26"/>
              <w:szCs w:val="26"/>
            </w:rPr>
            <w:t>28</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p>
        <w:p>
          <w:pPr>
            <w:pStyle w:val="12"/>
            <w:keepNext w:val="0"/>
            <w:keepLines w:val="0"/>
            <w:pageBreakBefore w:val="0"/>
            <w:widowControl/>
            <w:tabs>
              <w:tab w:val="right" w:leader="dot" w:pos="8306"/>
            </w:tabs>
            <w:kinsoku/>
            <w:wordWrap/>
            <w:overflowPunct/>
            <w:topLinePunct w:val="0"/>
            <w:autoSpaceDE/>
            <w:autoSpaceDN/>
            <w:bidi w:val="0"/>
            <w:adjustRightInd/>
            <w:snapToGrid/>
            <w:spacing w:after="0" w:line="288" w:lineRule="auto"/>
            <w:textAlignment w:val="auto"/>
          </w:pPr>
          <w:r>
            <w:rPr>
              <w:rFonts w:hint="eastAsia" w:ascii="仿宋" w:hAnsi="仿宋" w:eastAsia="仿宋" w:cs="仿宋"/>
              <w:bCs/>
              <w:sz w:val="26"/>
              <w:szCs w:val="26"/>
              <w:lang w:val="zh-CN"/>
            </w:rPr>
            <w:fldChar w:fldCharType="begin"/>
          </w:r>
          <w:r>
            <w:rPr>
              <w:rFonts w:hint="eastAsia" w:ascii="仿宋" w:hAnsi="仿宋" w:eastAsia="仿宋" w:cs="仿宋"/>
              <w:bCs/>
              <w:sz w:val="26"/>
              <w:szCs w:val="26"/>
              <w:lang w:val="zh-CN"/>
            </w:rPr>
            <w:instrText xml:space="preserve"> HYPERLINK \l _Toc20888 </w:instrText>
          </w:r>
          <w:r>
            <w:rPr>
              <w:rFonts w:hint="eastAsia" w:ascii="仿宋" w:hAnsi="仿宋" w:eastAsia="仿宋" w:cs="仿宋"/>
              <w:bCs/>
              <w:sz w:val="26"/>
              <w:szCs w:val="26"/>
              <w:lang w:val="zh-CN"/>
            </w:rPr>
            <w:fldChar w:fldCharType="separate"/>
          </w:r>
          <w:r>
            <w:rPr>
              <w:rFonts w:hint="eastAsia" w:ascii="仿宋" w:hAnsi="仿宋" w:eastAsia="仿宋" w:cs="仿宋"/>
              <w:kern w:val="2"/>
              <w:sz w:val="26"/>
              <w:szCs w:val="26"/>
              <w:lang w:val="en-US" w:eastAsia="zh-CN" w:bidi="ar-SA"/>
            </w:rPr>
            <w:t>十、</w:t>
          </w:r>
          <w:r>
            <w:rPr>
              <w:rFonts w:hint="eastAsia" w:ascii="仿宋" w:hAnsi="仿宋" w:eastAsia="仿宋" w:cs="仿宋"/>
              <w:sz w:val="26"/>
              <w:szCs w:val="26"/>
            </w:rPr>
            <w:t>其他应予说明的事项</w:t>
          </w:r>
          <w:r>
            <w:rPr>
              <w:rFonts w:hint="eastAsia" w:ascii="仿宋" w:hAnsi="仿宋" w:eastAsia="仿宋" w:cs="仿宋"/>
              <w:sz w:val="26"/>
              <w:szCs w:val="26"/>
            </w:rPr>
            <w:tab/>
          </w:r>
          <w:r>
            <w:rPr>
              <w:rFonts w:hint="eastAsia" w:ascii="仿宋" w:hAnsi="仿宋" w:eastAsia="仿宋" w:cs="仿宋"/>
              <w:sz w:val="26"/>
              <w:szCs w:val="26"/>
            </w:rPr>
            <w:fldChar w:fldCharType="begin"/>
          </w:r>
          <w:r>
            <w:rPr>
              <w:rFonts w:hint="eastAsia" w:ascii="仿宋" w:hAnsi="仿宋" w:eastAsia="仿宋" w:cs="仿宋"/>
              <w:sz w:val="26"/>
              <w:szCs w:val="26"/>
            </w:rPr>
            <w:instrText xml:space="preserve"> PAGEREF _Toc20888 \h </w:instrText>
          </w:r>
          <w:r>
            <w:rPr>
              <w:rFonts w:hint="eastAsia" w:ascii="仿宋" w:hAnsi="仿宋" w:eastAsia="仿宋" w:cs="仿宋"/>
              <w:sz w:val="26"/>
              <w:szCs w:val="26"/>
            </w:rPr>
            <w:fldChar w:fldCharType="separate"/>
          </w:r>
          <w:r>
            <w:rPr>
              <w:rFonts w:hint="eastAsia" w:ascii="仿宋" w:hAnsi="仿宋" w:eastAsia="仿宋" w:cs="仿宋"/>
              <w:sz w:val="26"/>
              <w:szCs w:val="26"/>
            </w:rPr>
            <w:t>29</w:t>
          </w:r>
          <w:r>
            <w:rPr>
              <w:rFonts w:hint="eastAsia" w:ascii="仿宋" w:hAnsi="仿宋" w:eastAsia="仿宋" w:cs="仿宋"/>
              <w:sz w:val="26"/>
              <w:szCs w:val="26"/>
            </w:rPr>
            <w:fldChar w:fldCharType="end"/>
          </w:r>
          <w:r>
            <w:rPr>
              <w:rFonts w:hint="eastAsia" w:ascii="仿宋" w:hAnsi="仿宋" w:eastAsia="仿宋" w:cs="仿宋"/>
              <w:bCs/>
              <w:sz w:val="26"/>
              <w:szCs w:val="26"/>
              <w:lang w:val="zh-CN"/>
            </w:rPr>
            <w:fldChar w:fldCharType="end"/>
          </w:r>
          <w:r>
            <w:rPr>
              <w:rFonts w:ascii="仿宋" w:hAnsi="仿宋"/>
              <w:bCs/>
              <w:sz w:val="26"/>
              <w:szCs w:val="26"/>
              <w:lang w:val="zh-CN"/>
            </w:rPr>
            <w:fldChar w:fldCharType="end"/>
          </w:r>
        </w:p>
      </w:sdtContent>
    </w:sdt>
    <w:p>
      <w:pPr>
        <w:pStyle w:val="2"/>
        <w:spacing w:before="240" w:after="0" w:line="360" w:lineRule="auto"/>
        <w:ind w:firstLine="803"/>
        <w:jc w:val="center"/>
        <w:rPr>
          <w:rFonts w:hint="eastAsia" w:ascii="Times New Roman" w:hAnsi="Times New Roman" w:eastAsia="黑体"/>
          <w:sz w:val="40"/>
          <w:szCs w:val="36"/>
        </w:rPr>
        <w:sectPr>
          <w:footerReference r:id="rId11" w:type="default"/>
          <w:pgSz w:w="11906" w:h="16838"/>
          <w:pgMar w:top="1440" w:right="1800" w:bottom="1440" w:left="1800" w:header="1077" w:footer="992" w:gutter="0"/>
          <w:pgNumType w:fmt="decimal" w:start="1"/>
          <w:cols w:space="425" w:num="1"/>
          <w:docGrid w:type="lines" w:linePitch="312" w:charSpace="0"/>
        </w:sectPr>
      </w:pPr>
      <w:bookmarkStart w:id="4" w:name="_Toc16952"/>
      <w:bookmarkStart w:id="5" w:name="_Toc176468758"/>
    </w:p>
    <w:p>
      <w:pPr>
        <w:pStyle w:val="2"/>
        <w:spacing w:before="240" w:after="0" w:line="360" w:lineRule="auto"/>
        <w:ind w:firstLine="803"/>
        <w:jc w:val="center"/>
        <w:rPr>
          <w:rFonts w:ascii="Times New Roman" w:hAnsi="Times New Roman"/>
        </w:rPr>
      </w:pPr>
      <w:r>
        <w:rPr>
          <w:rFonts w:hint="eastAsia" w:ascii="Times New Roman" w:hAnsi="Times New Roman" w:eastAsia="黑体"/>
          <w:sz w:val="40"/>
          <w:szCs w:val="36"/>
        </w:rPr>
        <w:t>《</w:t>
      </w:r>
      <w:r>
        <w:rPr>
          <w:rFonts w:hint="eastAsia" w:ascii="Times New Roman" w:hAnsi="Times New Roman" w:eastAsia="黑体"/>
        </w:rPr>
        <w:t>智能汽车基础地图</w:t>
      </w:r>
      <w:r>
        <w:rPr>
          <w:rFonts w:hint="eastAsia" w:ascii="Times New Roman" w:hAnsi="Times New Roman" w:eastAsia="黑体"/>
          <w:lang w:val="en-US" w:eastAsia="zh-CN"/>
        </w:rPr>
        <w:t>要素</w:t>
      </w:r>
      <w:r>
        <w:rPr>
          <w:rFonts w:hint="eastAsia" w:ascii="Times New Roman" w:hAnsi="Times New Roman" w:eastAsia="黑体"/>
        </w:rPr>
        <w:t>分类</w:t>
      </w:r>
      <w:r>
        <w:rPr>
          <w:rFonts w:hint="eastAsia" w:eastAsia="黑体"/>
          <w:lang w:val="en-US" w:eastAsia="zh-CN"/>
        </w:rPr>
        <w:t>和</w:t>
      </w:r>
      <w:r>
        <w:rPr>
          <w:rFonts w:hint="eastAsia" w:ascii="Times New Roman" w:hAnsi="Times New Roman" w:eastAsia="黑体"/>
        </w:rPr>
        <w:t>编码</w:t>
      </w:r>
      <w:r>
        <w:rPr>
          <w:rFonts w:ascii="Times New Roman" w:hAnsi="Times New Roman" w:eastAsia="黑体"/>
          <w:sz w:val="40"/>
          <w:szCs w:val="36"/>
        </w:rPr>
        <w:t>》</w:t>
      </w:r>
      <w:bookmarkEnd w:id="4"/>
      <w:bookmarkEnd w:id="5"/>
    </w:p>
    <w:p>
      <w:pPr>
        <w:pStyle w:val="2"/>
        <w:spacing w:before="0" w:after="240" w:line="360" w:lineRule="auto"/>
        <w:ind w:firstLine="883"/>
        <w:jc w:val="center"/>
        <w:rPr>
          <w:rFonts w:ascii="Times New Roman" w:hAnsi="Times New Roman" w:eastAsia="黑体"/>
        </w:rPr>
      </w:pPr>
      <w:bookmarkStart w:id="6" w:name="_Toc176468759"/>
      <w:bookmarkStart w:id="7" w:name="_Toc14899"/>
      <w:r>
        <w:rPr>
          <w:rFonts w:hint="eastAsia" w:ascii="Times New Roman" w:hAnsi="Times New Roman" w:eastAsia="黑体"/>
        </w:rPr>
        <w:t>编制说明</w:t>
      </w:r>
      <w:bookmarkEnd w:id="6"/>
      <w:bookmarkEnd w:id="7"/>
    </w:p>
    <w:p>
      <w:pPr>
        <w:pStyle w:val="48"/>
        <w:keepNext w:val="0"/>
        <w:keepLines w:val="0"/>
        <w:pageBreakBefore w:val="0"/>
        <w:widowControl w:val="0"/>
        <w:numPr>
          <w:ilvl w:val="0"/>
          <w:numId w:val="0"/>
        </w:numPr>
        <w:kinsoku/>
        <w:wordWrap/>
        <w:overflowPunct/>
        <w:topLinePunct w:val="0"/>
        <w:autoSpaceDE/>
        <w:autoSpaceDN/>
        <w:bidi w:val="0"/>
        <w:adjustRightInd w:val="0"/>
        <w:snapToGrid w:val="0"/>
        <w:ind w:firstLine="0" w:firstLineChars="0"/>
        <w:textAlignment w:val="auto"/>
        <w:rPr>
          <w:rFonts w:hint="eastAsia"/>
        </w:rPr>
      </w:pPr>
      <w:bookmarkStart w:id="8" w:name="_Toc29948"/>
      <w:r>
        <w:rPr>
          <w:rFonts w:hint="eastAsia" w:ascii="黑体" w:hAnsi="黑体" w:eastAsia="黑体" w:cs="Times New Roman"/>
          <w:kern w:val="2"/>
          <w:sz w:val="32"/>
          <w:szCs w:val="32"/>
          <w:lang w:val="en-US" w:eastAsia="zh-CN" w:bidi="ar-SA"/>
        </w:rPr>
        <w:t>一、</w:t>
      </w:r>
      <w:r>
        <w:rPr>
          <w:rFonts w:hint="eastAsia"/>
        </w:rPr>
        <w:t>工作</w:t>
      </w:r>
      <w:r>
        <w:rPr>
          <w:rFonts w:hint="eastAsia"/>
          <w:lang w:val="en-US" w:eastAsia="zh-CN"/>
        </w:rPr>
        <w:t>简</w:t>
      </w:r>
      <w:r>
        <w:rPr>
          <w:rFonts w:hint="eastAsia"/>
        </w:rPr>
        <w:t>况</w:t>
      </w:r>
      <w:bookmarkEnd w:id="8"/>
    </w:p>
    <w:p>
      <w:pPr>
        <w:pStyle w:val="49"/>
        <w:rPr>
          <w:rFonts w:hint="eastAsia"/>
          <w:lang w:val="en-US" w:eastAsia="zh-CN"/>
        </w:rPr>
      </w:pPr>
      <w:bookmarkStart w:id="9" w:name="_Toc10793"/>
      <w:r>
        <w:rPr>
          <w:rFonts w:hint="default"/>
          <w:lang w:val="en-US" w:eastAsia="zh-CN"/>
        </w:rPr>
        <w:t>1.</w:t>
      </w:r>
      <w:r>
        <w:rPr>
          <w:rFonts w:hint="eastAsia"/>
          <w:lang w:val="en-US" w:eastAsia="zh-CN"/>
        </w:rPr>
        <w:t>任务来源</w:t>
      </w:r>
      <w:bookmarkEnd w:id="9"/>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2020年9月，自然资源部办公厅印发了自然资源标准制修订工作计划，确定《智能汽车基础地图要素分类和编码》为行业标准预研项目，归属全国地理信息标准化技术委员会（TC230），由自然资源部测绘标准化研究所负责研制。</w:t>
      </w:r>
    </w:p>
    <w:p>
      <w:pPr>
        <w:pStyle w:val="47"/>
        <w:adjustRightInd w:val="0"/>
        <w:snapToGrid w:val="0"/>
        <w:rPr>
          <w:rFonts w:hint="eastAsia" w:ascii="仿宋" w:hAnsi="仿宋" w:cs="Times New Roman"/>
          <w:color w:val="000000"/>
          <w:sz w:val="28"/>
          <w:szCs w:val="28"/>
          <w:lang w:val="en-US" w:eastAsia="zh-CN"/>
        </w:rPr>
      </w:pPr>
      <w:r>
        <w:rPr>
          <w:rFonts w:hint="eastAsia" w:ascii="仿宋" w:hAnsi="仿宋" w:cs="Times New Roman"/>
          <w:color w:val="000000"/>
          <w:sz w:val="28"/>
          <w:szCs w:val="28"/>
          <w:lang w:val="en-US" w:eastAsia="zh-CN"/>
        </w:rPr>
        <w:t>2022年9月，自然资源部办公厅印发了《2022年度自然资源标准制修订工作计划》，确定《智能汽车基础地图要素分类和编码》为新增测绘行业标准，标准计划号202232014，由自然资源部测绘标准化研究所牵头制定。</w:t>
      </w:r>
    </w:p>
    <w:p>
      <w:pPr>
        <w:pStyle w:val="49"/>
        <w:rPr>
          <w:rFonts w:hint="default"/>
          <w:lang w:val="en-US" w:eastAsia="zh-CN"/>
        </w:rPr>
      </w:pPr>
      <w:bookmarkStart w:id="10" w:name="_Toc12536"/>
      <w:r>
        <w:rPr>
          <w:rFonts w:hint="eastAsia"/>
          <w:lang w:val="en-US" w:eastAsia="zh-CN"/>
        </w:rPr>
        <w:t>2.制定背景</w:t>
      </w:r>
      <w:bookmarkEnd w:id="10"/>
    </w:p>
    <w:p>
      <w:pPr>
        <w:pStyle w:val="47"/>
        <w:adjustRightInd w:val="0"/>
        <w:snapToGrid w:val="0"/>
        <w:rPr>
          <w:rFonts w:hint="eastAsia" w:ascii="仿宋" w:hAnsi="仿宋" w:cs="Times New Roman"/>
          <w:color w:val="000000"/>
          <w:szCs w:val="28"/>
          <w:lang w:eastAsia="zh-CN"/>
        </w:rPr>
      </w:pPr>
      <w:r>
        <w:rPr>
          <w:rFonts w:hint="eastAsia" w:ascii="仿宋" w:hAnsi="仿宋" w:cs="Times New Roman"/>
          <w:color w:val="000000"/>
          <w:szCs w:val="28"/>
        </w:rPr>
        <w:t>十九大交通强国战略的提出，使中国车路协同智能驾驶走上了快速发展阶段。我国政府高度重视智能网联汽车产业发展，明确了相应的引导政策和示范项目，并在北京、浙江、重庆、吉林、湖北等省市分别开展了智能驾驶汽车与智慧交通应用先行示范工作。随着各地工作的陆续开展，多部门提出了“自动驾驶汽车要上路，相关标准要先行”的呼声。目前从国家政策、行业学会、协会，以及上下游的企业，对于自动驾驶相关标准的制定，都给予了极大的关注，制定自动驾驶相关标准，显得尤为迫切。</w:t>
      </w:r>
    </w:p>
    <w:p>
      <w:pPr>
        <w:pStyle w:val="47"/>
        <w:adjustRightInd w:val="0"/>
        <w:snapToGrid w:val="0"/>
        <w:rPr>
          <w:rFonts w:hint="eastAsia" w:ascii="仿宋" w:hAnsi="仿宋" w:cs="Times New Roman"/>
          <w:color w:val="000000"/>
          <w:szCs w:val="28"/>
          <w:lang w:eastAsia="zh-CN"/>
        </w:rPr>
      </w:pPr>
      <w:r>
        <w:rPr>
          <w:rFonts w:hint="eastAsia" w:ascii="仿宋" w:hAnsi="仿宋" w:cs="Times New Roman"/>
          <w:color w:val="000000"/>
          <w:szCs w:val="28"/>
        </w:rPr>
        <w:t>2020年2月，</w:t>
      </w:r>
      <w:r>
        <w:rPr>
          <w:rFonts w:hint="eastAsia" w:cs="Times New Roman"/>
          <w:color w:val="000000"/>
          <w:szCs w:val="28"/>
          <w:lang w:eastAsia="zh-CN"/>
        </w:rPr>
        <w:t>国家发展改革委</w:t>
      </w:r>
      <w:r>
        <w:rPr>
          <w:rFonts w:hint="eastAsia" w:ascii="仿宋" w:hAnsi="仿宋" w:cs="Times New Roman"/>
          <w:color w:val="000000"/>
          <w:szCs w:val="28"/>
        </w:rPr>
        <w:t>会同工信部、自然资源部、交通运输部等11个部委联合印发了《智能汽车创新发展战略》</w:t>
      </w:r>
      <w:r>
        <w:rPr>
          <w:rFonts w:hint="eastAsia" w:cs="Times New Roman"/>
          <w:color w:val="000000"/>
          <w:szCs w:val="28"/>
          <w:lang w:eastAsia="zh-CN"/>
        </w:rPr>
        <w:t>，</w:t>
      </w:r>
      <w:r>
        <w:rPr>
          <w:rFonts w:hint="eastAsia" w:ascii="仿宋" w:hAnsi="仿宋" w:cs="Times New Roman"/>
          <w:color w:val="000000"/>
          <w:szCs w:val="28"/>
        </w:rPr>
        <w:t>其中明确提出了“智能汽车基础地图”概念，要求构建协同开放的智能汽车技术创新体系，重点突破智能汽车基础地图技术，开发标准统一的智能汽车基础地图，构建智能汽车中国标准体系</w:t>
      </w:r>
      <w:r>
        <w:rPr>
          <w:rFonts w:hint="eastAsia" w:ascii="仿宋" w:hAnsi="仿宋" w:cs="Times New Roman"/>
          <w:color w:val="000000"/>
          <w:szCs w:val="28"/>
          <w:lang w:eastAsia="zh-CN"/>
        </w:rPr>
        <w:t>。</w:t>
      </w:r>
    </w:p>
    <w:p>
      <w:pPr>
        <w:pStyle w:val="47"/>
        <w:adjustRightInd w:val="0"/>
        <w:snapToGrid w:val="0"/>
        <w:rPr>
          <w:rFonts w:hint="eastAsia" w:ascii="仿宋" w:hAnsi="仿宋" w:cs="Times New Roman"/>
          <w:sz w:val="28"/>
          <w:szCs w:val="28"/>
          <w:lang w:eastAsia="zh-CN"/>
        </w:rPr>
      </w:pPr>
      <w:r>
        <w:rPr>
          <w:rFonts w:hint="eastAsia" w:ascii="仿宋" w:hAnsi="仿宋" w:cs="Times New Roman"/>
          <w:color w:val="000000"/>
          <w:sz w:val="28"/>
          <w:szCs w:val="28"/>
          <w:lang w:eastAsia="zh-CN"/>
        </w:rPr>
        <w:t>驾驶</w:t>
      </w:r>
      <w:r>
        <w:rPr>
          <w:rFonts w:hint="eastAsia" w:cs="Times New Roman"/>
          <w:color w:val="000000"/>
          <w:sz w:val="28"/>
          <w:szCs w:val="28"/>
          <w:lang w:val="en-US" w:eastAsia="zh-CN"/>
        </w:rPr>
        <w:t>自动化领域</w:t>
      </w:r>
      <w:r>
        <w:rPr>
          <w:rFonts w:hint="eastAsia" w:ascii="仿宋" w:hAnsi="仿宋" w:cs="Times New Roman"/>
          <w:color w:val="000000"/>
          <w:sz w:val="28"/>
          <w:szCs w:val="28"/>
          <w:lang w:eastAsia="zh-CN"/>
        </w:rPr>
        <w:t>的不断发展使得智能汽车基础地图的作用日益凸显，成为必不可少的关键数字化基础设施之一。当前智能汽车基础地图标准化的对象、边界、层级关系和内在联系尚未形成统一标准，不利于数据生产、交换共享以及大规模推广应用。2023年自然资源部发布了《智能汽车基础地图标准体系》，体系中明确到2025年先行制定基础通用、数据采集等方面的10项以上智能汽车基础地图重点标准。本标准属于基础通用类中的分类编码类标准，用于帮助各相关行业部门认识和理解智能汽车基础地图标准化的对象、边界、层级关系和内在联系。</w:t>
      </w:r>
    </w:p>
    <w:p>
      <w:pPr>
        <w:pStyle w:val="47"/>
        <w:adjustRightInd w:val="0"/>
        <w:snapToGrid w:val="0"/>
        <w:rPr>
          <w:rFonts w:hint="eastAsia" w:eastAsia="仿宋"/>
          <w:lang w:val="en-US" w:eastAsia="zh-CN"/>
        </w:rPr>
      </w:pPr>
      <w:r>
        <w:rPr>
          <w:rFonts w:hint="eastAsia" w:ascii="仿宋" w:hAnsi="仿宋" w:cs="Times New Roman"/>
          <w:color w:val="000000"/>
          <w:szCs w:val="28"/>
          <w:lang w:val="en-US" w:eastAsia="zh-CN"/>
        </w:rPr>
        <w:t>本文件规定了智能汽车基础地图要素的分类和编码原则以及</w:t>
      </w:r>
      <w:r>
        <w:rPr>
          <w:rFonts w:hint="eastAsia" w:cs="Times New Roman"/>
          <w:color w:val="000000"/>
          <w:szCs w:val="28"/>
          <w:lang w:val="en-US" w:eastAsia="zh-CN"/>
        </w:rPr>
        <w:t>编码</w:t>
      </w:r>
      <w:r>
        <w:rPr>
          <w:rFonts w:hint="eastAsia" w:ascii="仿宋" w:hAnsi="仿宋" w:cs="Times New Roman"/>
          <w:color w:val="000000"/>
          <w:szCs w:val="28"/>
          <w:lang w:val="en-US" w:eastAsia="zh-CN"/>
        </w:rPr>
        <w:t>表，用以标识智能汽车基础地图要素类型及编码，适用于智能汽车基础地图数据的生产、建库、更新、应用、维护及相关智能驾驶服务及产品开发，能</w:t>
      </w:r>
      <w:r>
        <w:rPr>
          <w:rFonts w:hint="eastAsia" w:eastAsia="仿宋"/>
          <w:lang w:eastAsia="zh-CN"/>
        </w:rPr>
        <w:t>帮助各相关行业部门认识和理解智能汽车基础地图标准化的对象，为后续智能汽车驾驶自动化相关应用奠定基础。对于推动智能汽车产业的健康发展、确保国家安全、促进跨行业融合、提升国际竞争力、提高自动驾驶安全性以及规范数据采集和表达等方面都具有重要的意义。</w:t>
      </w:r>
    </w:p>
    <w:p>
      <w:pPr>
        <w:pStyle w:val="49"/>
        <w:rPr>
          <w:rFonts w:hint="default"/>
          <w:lang w:val="en-US" w:eastAsia="zh-CN"/>
        </w:rPr>
      </w:pPr>
      <w:bookmarkStart w:id="11" w:name="_Toc25787"/>
      <w:r>
        <w:rPr>
          <w:rFonts w:hint="eastAsia"/>
          <w:lang w:val="en-US" w:eastAsia="zh-CN"/>
        </w:rPr>
        <w:t>3</w:t>
      </w:r>
      <w:r>
        <w:rPr>
          <w:rFonts w:hint="default"/>
          <w:lang w:val="en-US" w:eastAsia="zh-CN"/>
        </w:rPr>
        <w:t>.</w:t>
      </w:r>
      <w:r>
        <w:rPr>
          <w:rFonts w:hint="eastAsia"/>
          <w:lang w:val="en-US" w:eastAsia="zh-CN"/>
        </w:rPr>
        <w:t>起草单位及主要起草人</w:t>
      </w:r>
      <w:bookmarkEnd w:id="11"/>
    </w:p>
    <w:p>
      <w:pPr>
        <w:pStyle w:val="47"/>
        <w:rPr>
          <w:rFonts w:hint="eastAsia"/>
        </w:rPr>
      </w:pPr>
      <w:r>
        <w:rPr>
          <w:rFonts w:hint="eastAsia"/>
          <w:lang w:eastAsia="zh-CN"/>
        </w:rPr>
        <w:t>（</w:t>
      </w:r>
      <w:r>
        <w:rPr>
          <w:rFonts w:hint="eastAsia"/>
        </w:rPr>
        <w:t>1）承担单位和协作单位</w:t>
      </w:r>
    </w:p>
    <w:p>
      <w:pPr>
        <w:pStyle w:val="47"/>
        <w:adjustRightInd w:val="0"/>
        <w:snapToGrid w:val="0"/>
        <w:rPr>
          <w:rFonts w:hint="eastAsia" w:ascii="仿宋" w:hAnsi="仿宋" w:cs="Times New Roman"/>
          <w:color w:val="000000"/>
          <w:szCs w:val="28"/>
        </w:rPr>
      </w:pPr>
      <w:r>
        <w:rPr>
          <w:rFonts w:hint="eastAsia" w:ascii="仿宋" w:hAnsi="仿宋" w:cs="Times New Roman"/>
          <w:color w:val="000000"/>
          <w:szCs w:val="28"/>
        </w:rPr>
        <w:t>承担单位：自然资源部测绘标准化研究所</w:t>
      </w:r>
    </w:p>
    <w:p>
      <w:pPr>
        <w:pStyle w:val="47"/>
        <w:adjustRightInd w:val="0"/>
        <w:snapToGrid w:val="0"/>
        <w:rPr>
          <w:rFonts w:hint="eastAsia" w:ascii="仿宋" w:hAnsi="仿宋" w:cs="Times New Roman"/>
          <w:color w:val="000000"/>
          <w:szCs w:val="28"/>
        </w:rPr>
      </w:pPr>
      <w:r>
        <w:rPr>
          <w:rFonts w:hint="eastAsia" w:ascii="仿宋" w:hAnsi="仿宋" w:cs="Times New Roman"/>
          <w:szCs w:val="28"/>
        </w:rPr>
        <w:t>协作单位：</w:t>
      </w:r>
      <w:bookmarkStart w:id="12" w:name="_Hlk164972361"/>
      <w:r>
        <w:rPr>
          <w:rFonts w:hint="eastAsia" w:cs="Times New Roman"/>
          <w:color w:val="000000"/>
          <w:szCs w:val="28"/>
          <w:lang w:eastAsia="zh-CN"/>
        </w:rPr>
        <w:t>（</w:t>
      </w:r>
      <w:r>
        <w:rPr>
          <w:rFonts w:hint="eastAsia" w:cs="Times New Roman"/>
          <w:color w:val="000000"/>
          <w:szCs w:val="28"/>
          <w:lang w:val="en-US" w:eastAsia="zh-CN"/>
        </w:rPr>
        <w:t>暂略</w:t>
      </w:r>
      <w:r>
        <w:rPr>
          <w:rFonts w:hint="eastAsia" w:cs="Times New Roman"/>
          <w:color w:val="000000"/>
          <w:szCs w:val="28"/>
          <w:lang w:eastAsia="zh-CN"/>
        </w:rPr>
        <w:t>）</w:t>
      </w:r>
      <w:r>
        <w:rPr>
          <w:rFonts w:hint="eastAsia" w:ascii="仿宋" w:hAnsi="仿宋" w:cs="Times New Roman"/>
          <w:color w:val="000000"/>
          <w:szCs w:val="28"/>
        </w:rPr>
        <w:t>。</w:t>
      </w:r>
    </w:p>
    <w:bookmarkEnd w:id="12"/>
    <w:p>
      <w:pPr>
        <w:pStyle w:val="47"/>
        <w:rPr>
          <w:rFonts w:hint="eastAsia"/>
        </w:rPr>
      </w:pPr>
      <w:r>
        <w:rPr>
          <w:rFonts w:hint="eastAsia"/>
          <w:lang w:eastAsia="zh-CN"/>
        </w:rPr>
        <w:t>（</w:t>
      </w:r>
      <w:r>
        <w:rPr>
          <w:rFonts w:hint="eastAsia"/>
        </w:rPr>
        <w:t>2）主要起草人及其所做工作</w:t>
      </w:r>
    </w:p>
    <w:p>
      <w:pPr>
        <w:pStyle w:val="47"/>
        <w:adjustRightInd w:val="0"/>
        <w:snapToGrid w:val="0"/>
        <w:rPr>
          <w:rFonts w:hint="eastAsia" w:ascii="仿宋" w:hAnsi="仿宋" w:cs="Times New Roman"/>
          <w:color w:val="000000"/>
          <w:szCs w:val="28"/>
        </w:rPr>
      </w:pPr>
      <w:r>
        <w:rPr>
          <w:rFonts w:hint="eastAsia" w:ascii="仿宋" w:hAnsi="仿宋" w:cs="Times New Roman"/>
          <w:color w:val="000000"/>
          <w:szCs w:val="28"/>
        </w:rPr>
        <w:t>该标准的主要起草单位、起草人和任务分工如表1所示。</w:t>
      </w:r>
    </w:p>
    <w:p>
      <w:pPr>
        <w:pStyle w:val="5"/>
        <w:ind w:firstLine="480"/>
        <w:jc w:val="center"/>
        <w:rPr>
          <w:rFonts w:ascii="Times New Roman" w:hAnsi="Times New Roman" w:eastAsia="黑体" w:cs="Times New Roman"/>
          <w:kern w:val="0"/>
          <w:sz w:val="28"/>
          <w:szCs w:val="24"/>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1</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w:t>
      </w:r>
      <w:r>
        <w:rPr>
          <w:rFonts w:ascii="Times New Roman" w:hAnsi="Times New Roman" w:eastAsia="黑体" w:cs="Times New Roman"/>
          <w:kern w:val="0"/>
          <w:sz w:val="28"/>
          <w:szCs w:val="24"/>
        </w:rPr>
        <w:t>起草单位</w:t>
      </w:r>
      <w:r>
        <w:rPr>
          <w:rFonts w:hint="eastAsia" w:ascii="Times New Roman" w:hAnsi="Times New Roman" w:eastAsia="黑体" w:cs="Times New Roman"/>
          <w:kern w:val="0"/>
          <w:sz w:val="28"/>
          <w:szCs w:val="24"/>
        </w:rPr>
        <w:t>和工作</w:t>
      </w:r>
      <w:r>
        <w:rPr>
          <w:rFonts w:ascii="Times New Roman" w:hAnsi="Times New Roman" w:eastAsia="黑体" w:cs="Times New Roman"/>
          <w:kern w:val="0"/>
          <w:sz w:val="28"/>
          <w:szCs w:val="24"/>
        </w:rPr>
        <w:t>分工</w:t>
      </w:r>
    </w:p>
    <w:tbl>
      <w:tblPr>
        <w:tblStyle w:val="43"/>
        <w:tblW w:w="8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2113"/>
        <w:gridCol w:w="3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blHeader/>
        </w:trPr>
        <w:tc>
          <w:tcPr>
            <w:tcW w:w="2385" w:type="dxa"/>
            <w:tcBorders>
              <w:bottom w:val="single" w:color="7E7E7E" w:themeColor="text1" w:themeTint="80" w:sz="4" w:space="0"/>
              <w:insideH w:val="single" w:sz="4" w:space="0"/>
            </w:tcBorders>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仿宋" w:cs="Times New Roman"/>
                <w:b/>
                <w:bCs/>
                <w:kern w:val="2"/>
                <w:sz w:val="24"/>
                <w:szCs w:val="24"/>
                <w:lang w:val="en-US" w:eastAsia="zh-CN" w:bidi="ar-SA"/>
              </w:rPr>
            </w:pPr>
            <w:r>
              <w:rPr>
                <w:rFonts w:hint="eastAsia" w:ascii="Times New Roman" w:hAnsi="Times New Roman" w:eastAsia="仿宋" w:cs="Times New Roman"/>
                <w:b/>
                <w:bCs/>
                <w:kern w:val="2"/>
                <w:sz w:val="24"/>
                <w:szCs w:val="24"/>
                <w:lang w:val="en-US" w:eastAsia="zh-CN" w:bidi="ar-SA"/>
              </w:rPr>
              <w:t>起草单位</w:t>
            </w:r>
          </w:p>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 w:hAnsi="仿宋" w:eastAsia="仿宋" w:cs="Times New Roman"/>
                <w:b/>
                <w:bCs/>
                <w:kern w:val="2"/>
                <w:sz w:val="24"/>
                <w:szCs w:val="24"/>
                <w:lang w:val="en-US" w:eastAsia="zh-CN" w:bidi="ar-SA"/>
              </w:rPr>
            </w:pPr>
            <w:r>
              <w:rPr>
                <w:rFonts w:hint="eastAsia" w:ascii="Times New Roman" w:hAnsi="Times New Roman" w:eastAsia="仿宋" w:cs="Times New Roman"/>
                <w:b/>
                <w:bCs/>
                <w:kern w:val="2"/>
                <w:sz w:val="24"/>
                <w:szCs w:val="24"/>
                <w:lang w:val="en-US" w:eastAsia="zh-CN" w:bidi="ar-SA"/>
              </w:rPr>
              <w:t>（排名不分先后）</w:t>
            </w:r>
          </w:p>
        </w:tc>
        <w:tc>
          <w:tcPr>
            <w:tcW w:w="2113" w:type="dxa"/>
            <w:tcBorders>
              <w:bottom w:val="single" w:color="7E7E7E" w:themeColor="text1" w:themeTint="80" w:sz="4" w:space="0"/>
              <w:insideH w:val="single" w:sz="4" w:space="0"/>
            </w:tcBorders>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 w:hAnsi="仿宋" w:eastAsia="仿宋" w:cs="Times New Roman"/>
                <w:b/>
                <w:bCs/>
                <w:kern w:val="2"/>
                <w:sz w:val="24"/>
                <w:szCs w:val="24"/>
                <w:lang w:val="en-US" w:eastAsia="zh-CN" w:bidi="ar-SA"/>
              </w:rPr>
            </w:pPr>
            <w:r>
              <w:rPr>
                <w:rFonts w:hint="eastAsia" w:ascii="Times New Roman" w:hAnsi="Times New Roman" w:eastAsia="仿宋" w:cs="Times New Roman"/>
                <w:b/>
                <w:bCs/>
                <w:kern w:val="2"/>
                <w:sz w:val="24"/>
                <w:szCs w:val="24"/>
                <w:lang w:val="en-US" w:eastAsia="zh-CN" w:bidi="ar-SA"/>
              </w:rPr>
              <w:t>起草人</w:t>
            </w:r>
          </w:p>
        </w:tc>
        <w:tc>
          <w:tcPr>
            <w:tcW w:w="3853" w:type="dxa"/>
            <w:tcBorders>
              <w:bottom w:val="single" w:color="7E7E7E" w:themeColor="text1" w:themeTint="80" w:sz="4" w:space="0"/>
              <w:insideH w:val="single" w:sz="4" w:space="0"/>
            </w:tcBorders>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仿宋" w:hAnsi="仿宋" w:eastAsia="仿宋" w:cs="Times New Roman"/>
                <w:b/>
                <w:bCs/>
                <w:kern w:val="2"/>
                <w:sz w:val="24"/>
                <w:szCs w:val="24"/>
                <w:lang w:val="en-US" w:eastAsia="zh-CN" w:bidi="ar-SA"/>
              </w:rPr>
            </w:pPr>
            <w:r>
              <w:rPr>
                <w:rFonts w:hint="eastAsia" w:ascii="Times New Roman" w:hAnsi="Times New Roman" w:eastAsia="仿宋" w:cs="Times New Roman"/>
                <w:b/>
                <w:bCs/>
                <w:kern w:val="2"/>
                <w:sz w:val="24"/>
                <w:szCs w:val="24"/>
                <w:lang w:val="en-US" w:eastAsia="zh-CN" w:bidi="ar-SA"/>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eastAsia" w:ascii="仿宋" w:hAnsi="仿宋" w:eastAsia="仿宋" w:cs="Times New Roman"/>
                <w:bCs w:val="0"/>
                <w:kern w:val="2"/>
                <w:sz w:val="24"/>
                <w:szCs w:val="24"/>
                <w:lang w:val="en-US" w:eastAsia="zh-CN" w:bidi="ar-SA"/>
              </w:rPr>
            </w:pPr>
            <w:r>
              <w:rPr>
                <w:rFonts w:hint="eastAsia" w:ascii="Times New Roman" w:hAnsi="Times New Roman" w:eastAsia="仿宋" w:cs="Times New Roman"/>
                <w:bCs w:val="0"/>
                <w:kern w:val="2"/>
                <w:sz w:val="24"/>
                <w:szCs w:val="24"/>
                <w:lang w:val="en-US" w:eastAsia="zh-CN" w:bidi="ar-SA"/>
              </w:rPr>
              <w:t>自然资源部测绘标准化研究所</w:t>
            </w:r>
          </w:p>
        </w:tc>
        <w:tc>
          <w:tcPr>
            <w:tcW w:w="2113" w:type="dxa"/>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default" w:ascii="仿宋" w:hAnsi="仿宋" w:eastAsia="仿宋" w:cs="Times New Roman"/>
                <w:bCs w:val="0"/>
                <w:kern w:val="2"/>
                <w:sz w:val="24"/>
                <w:szCs w:val="24"/>
                <w:lang w:val="en-US" w:eastAsia="zh-CN" w:bidi="ar-SA"/>
              </w:rPr>
            </w:pPr>
            <w:r>
              <w:rPr>
                <w:rFonts w:hint="eastAsia" w:ascii="Times New Roman" w:hAnsi="Times New Roman" w:eastAsia="仿宋" w:cs="Times New Roman"/>
                <w:bCs w:val="0"/>
                <w:kern w:val="2"/>
                <w:sz w:val="24"/>
                <w:szCs w:val="24"/>
                <w:lang w:val="en-US" w:eastAsia="zh-CN" w:bidi="ar-SA"/>
              </w:rPr>
              <w:t>马聪丽、殷小庆、尹彤、陈浩、高严、吴宇参</w:t>
            </w:r>
          </w:p>
        </w:tc>
        <w:tc>
          <w:tcPr>
            <w:tcW w:w="3853" w:type="dxa"/>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default" w:ascii="仿宋" w:hAnsi="仿宋" w:eastAsia="仿宋" w:cs="Times New Roman"/>
                <w:bCs w:val="0"/>
                <w:kern w:val="2"/>
                <w:sz w:val="24"/>
                <w:szCs w:val="24"/>
                <w:lang w:val="en-US" w:eastAsia="zh-CN" w:bidi="ar-SA"/>
              </w:rPr>
            </w:pPr>
            <w:r>
              <w:rPr>
                <w:rFonts w:hint="default" w:ascii="仿宋" w:hAnsi="仿宋" w:eastAsia="仿宋" w:cs="Times New Roman"/>
                <w:bCs w:val="0"/>
                <w:kern w:val="2"/>
                <w:sz w:val="24"/>
                <w:szCs w:val="24"/>
                <w:lang w:val="en-US" w:eastAsia="zh-CN" w:bidi="ar-SA"/>
              </w:rPr>
              <w:t>牵头标准的编写。负责组织标准编制大纲</w:t>
            </w:r>
            <w:r>
              <w:rPr>
                <w:rFonts w:hint="eastAsia" w:ascii="仿宋" w:hAnsi="仿宋" w:cs="Times New Roman"/>
                <w:bCs w:val="0"/>
                <w:kern w:val="2"/>
                <w:sz w:val="24"/>
                <w:szCs w:val="24"/>
                <w:lang w:val="en-US" w:eastAsia="zh-CN" w:bidi="ar-SA"/>
              </w:rPr>
              <w:t>、</w:t>
            </w:r>
            <w:r>
              <w:rPr>
                <w:rFonts w:hint="default" w:ascii="仿宋" w:hAnsi="仿宋" w:eastAsia="仿宋" w:cs="Times New Roman"/>
                <w:bCs w:val="0"/>
                <w:kern w:val="2"/>
                <w:sz w:val="24"/>
                <w:szCs w:val="24"/>
                <w:lang w:val="en-US" w:eastAsia="zh-CN" w:bidi="ar-SA"/>
              </w:rPr>
              <w:t>主要内容的</w:t>
            </w:r>
            <w:r>
              <w:rPr>
                <w:rFonts w:hint="eastAsia" w:ascii="仿宋" w:hAnsi="仿宋" w:cs="Times New Roman"/>
                <w:bCs w:val="0"/>
                <w:kern w:val="2"/>
                <w:sz w:val="24"/>
                <w:szCs w:val="24"/>
                <w:lang w:val="en-US" w:eastAsia="zh-CN" w:bidi="ar-SA"/>
              </w:rPr>
              <w:t>研讨和编写</w:t>
            </w:r>
            <w:r>
              <w:rPr>
                <w:rFonts w:hint="default" w:ascii="仿宋" w:hAnsi="仿宋" w:eastAsia="仿宋" w:cs="Times New Roman"/>
                <w:bCs w:val="0"/>
                <w:kern w:val="2"/>
                <w:sz w:val="24"/>
                <w:szCs w:val="24"/>
                <w:lang w:val="en-US" w:eastAsia="zh-CN" w:bidi="ar-SA"/>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武汉大学</w:t>
            </w:r>
          </w:p>
        </w:tc>
        <w:tc>
          <w:tcPr>
            <w:tcW w:w="2113"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应  申</w:t>
            </w:r>
          </w:p>
        </w:tc>
        <w:tc>
          <w:tcPr>
            <w:tcW w:w="3853" w:type="dxa"/>
            <w:vMerge w:val="restart"/>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default" w:ascii="仿宋" w:hAnsi="仿宋" w:cs="Times New Roman"/>
                <w:bCs w:val="0"/>
                <w:kern w:val="2"/>
                <w:sz w:val="24"/>
                <w:szCs w:val="24"/>
                <w:lang w:val="en-US" w:eastAsia="zh-CN" w:bidi="ar-SA"/>
              </w:rPr>
            </w:pPr>
            <w:r>
              <w:rPr>
                <w:rFonts w:hint="eastAsia" w:ascii="仿宋" w:hAnsi="仿宋" w:cs="Times New Roman"/>
                <w:bCs w:val="0"/>
                <w:kern w:val="2"/>
                <w:sz w:val="24"/>
                <w:szCs w:val="24"/>
                <w:lang w:val="en-US" w:eastAsia="zh-CN" w:bidi="ar-SA"/>
              </w:rPr>
              <w:t>参与标准编写。协助完成要素分类体系构建，以及相关技术内容的补充和完善。</w:t>
            </w:r>
          </w:p>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中国测绘科学研究院</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马小龙</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自然资源部地图技术审查中心</w:t>
            </w:r>
          </w:p>
        </w:tc>
        <w:tc>
          <w:tcPr>
            <w:tcW w:w="2113"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许华燕</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上海市测绘院</w:t>
            </w:r>
          </w:p>
        </w:tc>
        <w:tc>
          <w:tcPr>
            <w:tcW w:w="2113"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郭功举</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北京百度智图科技有限公司</w:t>
            </w:r>
          </w:p>
        </w:tc>
        <w:tc>
          <w:tcPr>
            <w:tcW w:w="2113"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于迅文</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北京四维图新科技股份有限公司</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朱大伟</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易图通科技（北京）有限公司</w:t>
            </w:r>
          </w:p>
        </w:tc>
        <w:tc>
          <w:tcPr>
            <w:tcW w:w="2113"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SA"/>
              </w:rPr>
            </w:pPr>
            <w:r>
              <w:rPr>
                <w:rFonts w:hint="eastAsia" w:ascii="Times New Roman" w:hAnsi="Times New Roman" w:eastAsia="仿宋" w:cs="Times New Roman"/>
                <w:b w:val="0"/>
                <w:bCs w:val="0"/>
                <w:kern w:val="2"/>
                <w:sz w:val="24"/>
                <w:szCs w:val="24"/>
                <w:lang w:val="en-US" w:eastAsia="zh-CN" w:bidi="ar"/>
              </w:rPr>
              <w:t>汤咏林</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385" w:type="dxa"/>
            <w:tcBorders>
              <w:top w:val="single" w:color="7E7E7E" w:themeColor="text1" w:themeTint="80" w:sz="4" w:space="0"/>
              <w:bottom w:val="single" w:color="7E7E7E" w:themeColor="text1" w:themeTint="80" w:sz="4" w:space="0"/>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陕西天润科技股份有限公司</w:t>
            </w:r>
          </w:p>
        </w:tc>
        <w:tc>
          <w:tcPr>
            <w:tcW w:w="2113" w:type="dxa"/>
            <w:tcBorders>
              <w:top w:val="single" w:color="7E7E7E" w:themeColor="text1" w:themeTint="80" w:sz="4" w:space="0"/>
              <w:bottom w:val="single" w:color="7E7E7E" w:themeColor="text1" w:themeTint="80" w:sz="4" w:space="0"/>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李俊、石莹</w:t>
            </w:r>
          </w:p>
        </w:tc>
        <w:tc>
          <w:tcPr>
            <w:tcW w:w="3853" w:type="dxa"/>
            <w:vMerge w:val="continue"/>
            <w:tcBorders>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385" w:type="dxa"/>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德清县地理信息中心</w:t>
            </w:r>
          </w:p>
        </w:tc>
        <w:tc>
          <w:tcPr>
            <w:tcW w:w="2113" w:type="dxa"/>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 xml:space="preserve">  倪锡春、付荣祥</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385" w:type="dxa"/>
            <w:tcBorders>
              <w:top w:val="single" w:color="7E7E7E" w:themeColor="text1" w:themeTint="80" w:sz="4" w:space="0"/>
              <w:bottom w:val="single" w:color="7E7E7E" w:themeColor="text1" w:themeTint="80" w:sz="4" w:space="0"/>
              <w:insideH w:val="single" w:sz="4" w:space="0"/>
            </w:tcBorders>
            <w:shd w:val="clear" w:color="auto" w:fill="auto"/>
            <w:vAlign w:val="center"/>
          </w:tcPr>
          <w:p>
            <w:pPr>
              <w:keepNext w:val="0"/>
              <w:keepLines w:val="0"/>
              <w:widowControl/>
              <w:suppressLineNumbers w:val="0"/>
              <w:adjustRightInd/>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广州市城市规划勘测设计研究院有限公司</w:t>
            </w:r>
          </w:p>
        </w:tc>
        <w:tc>
          <w:tcPr>
            <w:tcW w:w="2113" w:type="dxa"/>
            <w:tcBorders>
              <w:top w:val="single" w:color="7E7E7E" w:themeColor="text1" w:themeTint="80" w:sz="4" w:space="0"/>
              <w:bottom w:val="single" w:color="7E7E7E" w:themeColor="text1" w:themeTint="80" w:sz="4" w:space="0"/>
              <w:insideH w:val="single" w:sz="4" w:space="0"/>
            </w:tcBorders>
            <w:shd w:val="clear" w:color="auto" w:fill="auto"/>
            <w:vAlign w:val="center"/>
          </w:tcPr>
          <w:p>
            <w:pPr>
              <w:keepNext w:val="0"/>
              <w:keepLines w:val="0"/>
              <w:widowControl/>
              <w:suppressLineNumbers w:val="0"/>
              <w:adjustRightInd/>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陶岚、黄盛</w:t>
            </w:r>
          </w:p>
        </w:tc>
        <w:tc>
          <w:tcPr>
            <w:tcW w:w="3853" w:type="dxa"/>
            <w:vMerge w:val="continue"/>
            <w:tcBorders>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385" w:type="dxa"/>
            <w:tcBorders>
              <w:top w:val="single" w:color="7E7E7E" w:themeColor="text1" w:themeTint="80" w:sz="4" w:space="0"/>
              <w:bottom w:val="single" w:color="7E7E7E" w:themeColor="text1" w:themeTint="80" w:sz="4" w:space="0"/>
              <w:insideH w:val="single" w:sz="4" w:space="0"/>
            </w:tcBorders>
            <w:shd w:val="clear" w:color="auto" w:fill="auto"/>
            <w:vAlign w:val="center"/>
          </w:tcPr>
          <w:p>
            <w:pPr>
              <w:keepNext w:val="0"/>
              <w:keepLines w:val="0"/>
              <w:widowControl/>
              <w:suppressLineNumbers w:val="0"/>
              <w:adjustRightInd/>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广州市规划和自然资源自动化中心</w:t>
            </w:r>
          </w:p>
        </w:tc>
        <w:tc>
          <w:tcPr>
            <w:tcW w:w="2113" w:type="dxa"/>
            <w:tcBorders>
              <w:top w:val="single" w:color="7E7E7E" w:themeColor="text1" w:themeTint="80" w:sz="4" w:space="0"/>
              <w:bottom w:val="single" w:color="7E7E7E" w:themeColor="text1" w:themeTint="80" w:sz="4" w:space="0"/>
              <w:insideH w:val="single" w:sz="4" w:space="0"/>
            </w:tcBorders>
            <w:shd w:val="clear" w:color="auto" w:fill="auto"/>
            <w:vAlign w:val="center"/>
          </w:tcPr>
          <w:p>
            <w:pPr>
              <w:keepNext w:val="0"/>
              <w:keepLines w:val="0"/>
              <w:widowControl/>
              <w:suppressLineNumbers w:val="0"/>
              <w:adjustRightInd/>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Times New Roman"/>
                <w:bCs w:val="0"/>
                <w:color w:val="auto"/>
                <w:kern w:val="2"/>
                <w:sz w:val="24"/>
                <w:szCs w:val="24"/>
                <w:lang w:val="en-US" w:eastAsia="zh-CN" w:bidi="ar-SA"/>
              </w:rPr>
            </w:pPr>
            <w:r>
              <w:rPr>
                <w:rFonts w:hint="eastAsia" w:ascii="Times New Roman" w:hAnsi="Times New Roman" w:eastAsia="仿宋" w:cs="Times New Roman"/>
                <w:bCs w:val="0"/>
                <w:color w:val="auto"/>
                <w:kern w:val="2"/>
                <w:sz w:val="24"/>
                <w:szCs w:val="24"/>
                <w:lang w:val="en-US" w:eastAsia="zh-CN" w:bidi="ar-SA"/>
              </w:rPr>
              <w:t>何华贵、高毓琳</w:t>
            </w:r>
          </w:p>
        </w:tc>
        <w:tc>
          <w:tcPr>
            <w:tcW w:w="3853" w:type="dxa"/>
            <w:vMerge w:val="continue"/>
            <w:tcBorders>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ascii="Times New Roman" w:hAnsi="Times New Roman" w:eastAsia="仿宋" w:cs="Times New Roman"/>
                <w:b w:val="0"/>
                <w:bCs w:val="0"/>
                <w:kern w:val="2"/>
                <w:sz w:val="24"/>
                <w:szCs w:val="24"/>
                <w:lang w:val="en-US" w:eastAsia="zh-CN" w:bidi="ar"/>
              </w:rPr>
              <w:t>沈阳美行科技股份有限公司</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ascii="Times New Roman" w:hAnsi="Times New Roman" w:eastAsia="仿宋" w:cs="Times New Roman"/>
                <w:b w:val="0"/>
                <w:bCs w:val="0"/>
                <w:kern w:val="2"/>
                <w:sz w:val="24"/>
                <w:szCs w:val="24"/>
                <w:lang w:val="en-US" w:eastAsia="zh-CN" w:bidi="ar"/>
              </w:rPr>
              <w:t>郭成春、刘秋平</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cs="Times New Roman"/>
                <w:b w:val="0"/>
                <w:bCs w:val="0"/>
                <w:kern w:val="2"/>
                <w:sz w:val="24"/>
                <w:szCs w:val="24"/>
                <w:lang w:val="en-US" w:eastAsia="zh-CN" w:bidi="ar"/>
              </w:rPr>
              <w:t>清华大学</w:t>
            </w:r>
          </w:p>
        </w:tc>
        <w:tc>
          <w:tcPr>
            <w:tcW w:w="2113" w:type="dxa"/>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lang w:val="en-US" w:eastAsia="zh-CN" w:bidi="ar"/>
              </w:rPr>
            </w:pPr>
            <w:r>
              <w:rPr>
                <w:rFonts w:hint="eastAsia" w:ascii="Times New Roman" w:hAnsi="Times New Roman" w:eastAsia="仿宋" w:cs="Times New Roman"/>
                <w:b w:val="0"/>
                <w:bCs w:val="0"/>
                <w:kern w:val="2"/>
                <w:sz w:val="24"/>
                <w:szCs w:val="24"/>
                <w:lang w:val="en-US" w:eastAsia="zh-CN" w:bidi="ar"/>
              </w:rPr>
              <w:t>杨蒙蒙</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 w:cs="Times New Roman"/>
                <w:b w:val="0"/>
                <w:bCs w:val="0"/>
                <w:kern w:val="2"/>
                <w:sz w:val="24"/>
                <w:szCs w:val="24"/>
                <w:highlight w:val="none"/>
                <w:lang w:val="en-US" w:eastAsia="zh-CN" w:bidi="ar"/>
              </w:rPr>
            </w:pPr>
            <w:r>
              <w:rPr>
                <w:rFonts w:hint="default" w:ascii="Times New Roman" w:hAnsi="Times New Roman" w:eastAsia="仿宋" w:cs="Times New Roman"/>
                <w:b w:val="0"/>
                <w:bCs w:val="0"/>
                <w:kern w:val="2"/>
                <w:sz w:val="24"/>
                <w:szCs w:val="24"/>
                <w:highlight w:val="none"/>
                <w:lang w:val="en-US" w:eastAsia="zh-CN" w:bidi="ar"/>
              </w:rPr>
              <w:t>北京测绘设计研究院</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 w:cs="Times New Roman"/>
                <w:b w:val="0"/>
                <w:bCs w:val="0"/>
                <w:kern w:val="2"/>
                <w:sz w:val="24"/>
                <w:szCs w:val="24"/>
                <w:highlight w:val="none"/>
                <w:lang w:val="en-US" w:eastAsia="zh-CN" w:bidi="ar"/>
              </w:rPr>
            </w:pPr>
            <w:r>
              <w:rPr>
                <w:rFonts w:hint="eastAsia" w:ascii="Times New Roman" w:hAnsi="Times New Roman" w:eastAsia="仿宋" w:cs="Times New Roman"/>
                <w:b w:val="0"/>
                <w:bCs w:val="0"/>
                <w:kern w:val="2"/>
                <w:sz w:val="24"/>
                <w:szCs w:val="24"/>
                <w:highlight w:val="none"/>
                <w:lang w:val="en-US" w:eastAsia="zh-CN" w:bidi="ar"/>
              </w:rPr>
              <w:t>刘永轩</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 w:cs="Times New Roman"/>
                <w:b w:val="0"/>
                <w:bCs w:val="0"/>
                <w:kern w:val="2"/>
                <w:sz w:val="24"/>
                <w:szCs w:val="24"/>
                <w:highlight w:val="none"/>
                <w:lang w:val="en-US" w:eastAsia="zh-CN" w:bidi="ar"/>
              </w:rPr>
            </w:pPr>
            <w:r>
              <w:rPr>
                <w:rFonts w:hint="default" w:ascii="Times New Roman" w:hAnsi="Times New Roman" w:eastAsia="仿宋" w:cs="Times New Roman"/>
                <w:b w:val="0"/>
                <w:bCs w:val="0"/>
                <w:kern w:val="2"/>
                <w:sz w:val="24"/>
                <w:szCs w:val="24"/>
                <w:highlight w:val="none"/>
                <w:lang w:val="en-US" w:eastAsia="zh-CN" w:bidi="ar"/>
              </w:rPr>
              <w:t>广州小鹏汽车科技有限公司</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 w:cs="Times New Roman"/>
                <w:b w:val="0"/>
                <w:bCs w:val="0"/>
                <w:kern w:val="2"/>
                <w:sz w:val="24"/>
                <w:szCs w:val="24"/>
                <w:highlight w:val="none"/>
                <w:lang w:val="en-US" w:eastAsia="zh-CN" w:bidi="ar"/>
              </w:rPr>
            </w:pPr>
            <w:r>
              <w:rPr>
                <w:rFonts w:hint="eastAsia" w:cs="Times New Roman"/>
                <w:b w:val="0"/>
                <w:bCs w:val="0"/>
                <w:kern w:val="2"/>
                <w:sz w:val="24"/>
                <w:szCs w:val="24"/>
                <w:highlight w:val="none"/>
                <w:lang w:val="en-US" w:eastAsia="zh-CN" w:bidi="ar"/>
              </w:rPr>
              <w:t>贾月飞</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cs="Times New Roman"/>
                <w:b w:val="0"/>
                <w:bCs w:val="0"/>
                <w:kern w:val="2"/>
                <w:sz w:val="24"/>
                <w:szCs w:val="24"/>
                <w:highlight w:val="none"/>
                <w:lang w:val="en-US" w:eastAsia="zh-CN" w:bidi="ar"/>
              </w:rPr>
            </w:pPr>
            <w:r>
              <w:rPr>
                <w:rFonts w:hint="eastAsia" w:cs="Times New Roman"/>
                <w:b w:val="0"/>
                <w:bCs w:val="0"/>
                <w:kern w:val="2"/>
                <w:sz w:val="24"/>
                <w:szCs w:val="24"/>
                <w:highlight w:val="none"/>
                <w:lang w:val="en-US" w:eastAsia="zh-CN" w:bidi="ar"/>
              </w:rPr>
              <w:t>武汉中海庭数据技术有限公司</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 w:cs="Times New Roman"/>
                <w:b w:val="0"/>
                <w:bCs w:val="0"/>
                <w:kern w:val="2"/>
                <w:sz w:val="24"/>
                <w:szCs w:val="24"/>
                <w:highlight w:val="none"/>
                <w:lang w:val="en-US" w:eastAsia="zh-CN" w:bidi="ar"/>
              </w:rPr>
            </w:pPr>
            <w:r>
              <w:rPr>
                <w:rFonts w:hint="eastAsia" w:cs="Times New Roman"/>
                <w:b w:val="0"/>
                <w:bCs w:val="0"/>
                <w:kern w:val="2"/>
                <w:sz w:val="24"/>
                <w:szCs w:val="24"/>
                <w:highlight w:val="none"/>
                <w:lang w:val="en-US" w:eastAsia="zh-CN" w:bidi="ar"/>
              </w:rPr>
              <w:t>陈欣</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85"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cs="Times New Roman"/>
                <w:b w:val="0"/>
                <w:bCs w:val="0"/>
                <w:kern w:val="2"/>
                <w:sz w:val="24"/>
                <w:szCs w:val="24"/>
                <w:highlight w:val="none"/>
                <w:lang w:val="en-US" w:eastAsia="zh-CN" w:bidi="ar"/>
              </w:rPr>
            </w:pPr>
            <w:r>
              <w:rPr>
                <w:rFonts w:hint="eastAsia" w:cs="Times New Roman"/>
                <w:b w:val="0"/>
                <w:bCs w:val="0"/>
                <w:kern w:val="2"/>
                <w:sz w:val="24"/>
                <w:szCs w:val="24"/>
                <w:highlight w:val="none"/>
                <w:lang w:val="en-US" w:eastAsia="zh-CN" w:bidi="ar"/>
              </w:rPr>
              <w:t>湖北亿咖通科技有限公司</w:t>
            </w:r>
          </w:p>
        </w:tc>
        <w:tc>
          <w:tcPr>
            <w:tcW w:w="2113" w:type="dxa"/>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Fonts w:hint="eastAsia" w:cs="Times New Roman"/>
                <w:b w:val="0"/>
                <w:bCs w:val="0"/>
                <w:kern w:val="2"/>
                <w:sz w:val="24"/>
                <w:szCs w:val="24"/>
                <w:highlight w:val="none"/>
                <w:lang w:val="en-US" w:eastAsia="zh-CN" w:bidi="ar"/>
              </w:rPr>
            </w:pPr>
            <w:r>
              <w:rPr>
                <w:rFonts w:hint="eastAsia" w:cs="Times New Roman"/>
                <w:b w:val="0"/>
                <w:bCs w:val="0"/>
                <w:kern w:val="2"/>
                <w:sz w:val="24"/>
                <w:szCs w:val="24"/>
                <w:highlight w:val="none"/>
                <w:lang w:val="en-US" w:eastAsia="zh-CN" w:bidi="ar"/>
              </w:rPr>
              <w:t>耿东伶</w:t>
            </w:r>
          </w:p>
        </w:tc>
        <w:tc>
          <w:tcPr>
            <w:tcW w:w="3853" w:type="dxa"/>
            <w:vMerge w:val="continue"/>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385" w:type="dxa"/>
            <w:tcBorders>
              <w:top w:val="single" w:color="7E7E7E" w:themeColor="text1" w:themeTint="80" w:sz="4" w:space="0"/>
              <w:bottom w:val="single" w:color="7E7E7E" w:themeColor="text1" w:themeTint="80" w:sz="4" w:space="0"/>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仿宋" w:cs="Times New Roman"/>
                <w:bCs w:val="0"/>
                <w:kern w:val="2"/>
                <w:sz w:val="24"/>
                <w:szCs w:val="24"/>
                <w:lang w:val="en-US" w:eastAsia="zh-CN" w:bidi="ar-SA"/>
              </w:rPr>
            </w:pPr>
            <w:bookmarkStart w:id="13" w:name="_Toc32591"/>
            <w:r>
              <w:rPr>
                <w:rFonts w:hint="eastAsia" w:cs="Times New Roman"/>
                <w:bCs w:val="0"/>
                <w:kern w:val="2"/>
                <w:sz w:val="24"/>
                <w:szCs w:val="24"/>
                <w:lang w:val="en-US" w:eastAsia="zh-CN" w:bidi="ar-SA"/>
              </w:rPr>
              <w:t>……</w:t>
            </w:r>
          </w:p>
        </w:tc>
        <w:tc>
          <w:tcPr>
            <w:tcW w:w="2113" w:type="dxa"/>
            <w:tcBorders>
              <w:top w:val="single" w:color="7E7E7E" w:themeColor="text1" w:themeTint="80" w:sz="4" w:space="0"/>
              <w:bottom w:val="single" w:color="7E7E7E" w:themeColor="text1" w:themeTint="80" w:sz="4" w:space="0"/>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0" w:firstLineChars="0"/>
              <w:jc w:val="center"/>
              <w:textAlignment w:val="center"/>
              <w:rPr>
                <w:rFonts w:hint="eastAsia" w:ascii="Times New Roman" w:hAnsi="Times New Roman" w:eastAsia="仿宋" w:cs="Times New Roman"/>
                <w:bCs w:val="0"/>
                <w:kern w:val="2"/>
                <w:sz w:val="24"/>
                <w:szCs w:val="24"/>
                <w:lang w:val="en-US" w:eastAsia="zh-CN" w:bidi="ar-SA"/>
              </w:rPr>
            </w:pPr>
            <w:r>
              <w:rPr>
                <w:rFonts w:hint="eastAsia" w:cs="Times New Roman"/>
                <w:bCs w:val="0"/>
                <w:kern w:val="2"/>
                <w:sz w:val="24"/>
                <w:szCs w:val="24"/>
                <w:lang w:val="en-US" w:eastAsia="zh-CN" w:bidi="ar-SA"/>
              </w:rPr>
              <w:t>……</w:t>
            </w:r>
          </w:p>
        </w:tc>
        <w:tc>
          <w:tcPr>
            <w:tcW w:w="3853" w:type="dxa"/>
            <w:vMerge w:val="continue"/>
            <w:tcBorders>
              <w:bottom w:val="single" w:color="7E7E7E" w:themeColor="text1" w:themeTint="80" w:sz="4" w:space="0"/>
              <w:insideH w:val="single" w:sz="4" w:space="0"/>
            </w:tcBorders>
            <w:vAlign w:val="center"/>
          </w:tcPr>
          <w:p>
            <w:pPr>
              <w:keepNext w:val="0"/>
              <w:keepLines w:val="0"/>
              <w:widowControl/>
              <w:suppressLineNumbers w:val="0"/>
              <w:adjustRightInd/>
              <w:snapToGrid/>
              <w:spacing w:before="0" w:beforeAutospacing="0" w:after="0" w:afterAutospacing="0" w:line="240" w:lineRule="auto"/>
              <w:ind w:left="0" w:right="0" w:firstLine="480" w:firstLineChars="200"/>
              <w:jc w:val="center"/>
              <w:textAlignment w:val="center"/>
              <w:rPr>
                <w:rFonts w:hint="eastAsia" w:ascii="仿宋" w:hAnsi="仿宋" w:eastAsia="仿宋" w:cs="Times New Roman"/>
                <w:bCs w:val="0"/>
                <w:kern w:val="2"/>
                <w:sz w:val="24"/>
                <w:szCs w:val="24"/>
                <w:lang w:val="en-US" w:eastAsia="zh-CN" w:bidi="ar-SA"/>
              </w:rPr>
            </w:pPr>
          </w:p>
        </w:tc>
      </w:tr>
    </w:tbl>
    <w:p>
      <w:pPr>
        <w:pStyle w:val="49"/>
        <w:rPr>
          <w:rFonts w:hint="eastAsia"/>
          <w:lang w:val="en-US" w:eastAsia="zh-CN"/>
        </w:rPr>
      </w:pPr>
      <w:r>
        <w:rPr>
          <w:rFonts w:hint="eastAsia"/>
          <w:lang w:val="en-US" w:eastAsia="zh-CN"/>
        </w:rPr>
        <w:t>4</w:t>
      </w:r>
      <w:r>
        <w:rPr>
          <w:rFonts w:hint="default"/>
          <w:lang w:val="en-US" w:eastAsia="zh-CN"/>
        </w:rPr>
        <w:t>.</w:t>
      </w:r>
      <w:r>
        <w:rPr>
          <w:rFonts w:hint="eastAsia"/>
          <w:lang w:val="en-US" w:eastAsia="zh-CN"/>
        </w:rPr>
        <w:t>主要工作过程</w:t>
      </w:r>
      <w:bookmarkEnd w:id="13"/>
    </w:p>
    <w:p>
      <w:pPr>
        <w:pStyle w:val="47"/>
        <w:keepNext w:val="0"/>
        <w:keepLines w:val="0"/>
        <w:pageBreakBefore w:val="0"/>
        <w:widowControl w:val="0"/>
        <w:kinsoku/>
        <w:wordWrap/>
        <w:overflowPunct/>
        <w:topLinePunct w:val="0"/>
        <w:autoSpaceDE/>
        <w:autoSpaceDN/>
        <w:bidi w:val="0"/>
        <w:adjustRightInd w:val="0"/>
        <w:snapToGrid w:val="0"/>
        <w:textAlignment w:val="auto"/>
        <w:rPr>
          <w:rFonts w:hint="eastAsia"/>
          <w:b/>
          <w:bCs/>
          <w:sz w:val="28"/>
          <w:szCs w:val="28"/>
        </w:rPr>
      </w:pPr>
      <w:r>
        <w:rPr>
          <w:rFonts w:hint="eastAsia"/>
          <w:b/>
          <w:bCs/>
          <w:sz w:val="28"/>
          <w:szCs w:val="28"/>
          <w:lang w:eastAsia="zh-CN"/>
        </w:rPr>
        <w:t>（</w:t>
      </w:r>
      <w:r>
        <w:rPr>
          <w:rFonts w:hint="eastAsia"/>
          <w:b/>
          <w:bCs/>
          <w:sz w:val="28"/>
          <w:szCs w:val="28"/>
        </w:rPr>
        <w:t>1）立项启动</w:t>
      </w:r>
    </w:p>
    <w:p>
      <w:pPr>
        <w:pStyle w:val="47"/>
        <w:rPr>
          <w:rFonts w:hint="default"/>
          <w:bCs w:val="0"/>
          <w:color w:val="auto"/>
          <w:sz w:val="28"/>
          <w:szCs w:val="28"/>
          <w:lang w:val="en-US" w:eastAsia="zh-CN"/>
        </w:rPr>
      </w:pPr>
      <w:r>
        <w:rPr>
          <w:rFonts w:hint="default"/>
          <w:bCs w:val="0"/>
          <w:color w:val="auto"/>
          <w:sz w:val="28"/>
          <w:szCs w:val="28"/>
          <w:lang w:val="en-US" w:eastAsia="zh-CN"/>
        </w:rPr>
        <w:t>202</w:t>
      </w:r>
      <w:r>
        <w:rPr>
          <w:rFonts w:hint="eastAsia"/>
          <w:bCs w:val="0"/>
          <w:color w:val="auto"/>
          <w:sz w:val="28"/>
          <w:szCs w:val="28"/>
          <w:lang w:val="en-US" w:eastAsia="zh-CN"/>
        </w:rPr>
        <w:t>2</w:t>
      </w:r>
      <w:r>
        <w:rPr>
          <w:rFonts w:hint="default"/>
          <w:bCs w:val="0"/>
          <w:color w:val="auto"/>
          <w:sz w:val="28"/>
          <w:szCs w:val="28"/>
          <w:lang w:val="en-US" w:eastAsia="zh-CN"/>
        </w:rPr>
        <w:t>年</w:t>
      </w:r>
      <w:r>
        <w:rPr>
          <w:rFonts w:hint="eastAsia"/>
          <w:bCs w:val="0"/>
          <w:color w:val="auto"/>
          <w:sz w:val="28"/>
          <w:szCs w:val="28"/>
          <w:lang w:val="en-US" w:eastAsia="zh-CN"/>
        </w:rPr>
        <w:t>9月</w:t>
      </w:r>
      <w:r>
        <w:rPr>
          <w:rFonts w:hint="default"/>
          <w:bCs w:val="0"/>
          <w:color w:val="auto"/>
          <w:sz w:val="28"/>
          <w:szCs w:val="28"/>
          <w:lang w:val="en-US" w:eastAsia="zh-CN"/>
        </w:rPr>
        <w:t>，经自然资源部办公厅的标准计划建议征集以及立项审查，本项目成功立项，制修订工作计划发布于自然资办发〔2021〕60号文件。202</w:t>
      </w:r>
      <w:r>
        <w:rPr>
          <w:rFonts w:hint="eastAsia"/>
          <w:bCs w:val="0"/>
          <w:color w:val="auto"/>
          <w:sz w:val="28"/>
          <w:szCs w:val="28"/>
          <w:lang w:val="en-US" w:eastAsia="zh-CN"/>
        </w:rPr>
        <w:t>2</w:t>
      </w:r>
      <w:r>
        <w:rPr>
          <w:rFonts w:hint="default"/>
          <w:bCs w:val="0"/>
          <w:color w:val="auto"/>
          <w:sz w:val="28"/>
          <w:szCs w:val="28"/>
          <w:lang w:val="en-US" w:eastAsia="zh-CN"/>
        </w:rPr>
        <w:t>年</w:t>
      </w:r>
      <w:r>
        <w:rPr>
          <w:rFonts w:hint="eastAsia"/>
          <w:bCs w:val="0"/>
          <w:color w:val="auto"/>
          <w:sz w:val="28"/>
          <w:szCs w:val="28"/>
          <w:lang w:val="en-US" w:eastAsia="zh-CN"/>
        </w:rPr>
        <w:t>9</w:t>
      </w:r>
      <w:r>
        <w:rPr>
          <w:rFonts w:hint="default"/>
          <w:bCs w:val="0"/>
          <w:color w:val="auto"/>
          <w:sz w:val="28"/>
          <w:szCs w:val="28"/>
          <w:lang w:val="en-US" w:eastAsia="zh-CN"/>
        </w:rPr>
        <w:t>月成立标准编制组，并制定《</w:t>
      </w:r>
      <w:r>
        <w:rPr>
          <w:rFonts w:hint="eastAsia"/>
          <w:bCs w:val="0"/>
          <w:color w:val="auto"/>
          <w:sz w:val="28"/>
          <w:szCs w:val="28"/>
          <w:lang w:val="en-US" w:eastAsia="zh-CN"/>
        </w:rPr>
        <w:t>智能汽车基础地图要素分类和编码</w:t>
      </w:r>
      <w:r>
        <w:rPr>
          <w:rFonts w:hint="default"/>
          <w:bCs w:val="0"/>
          <w:color w:val="auto"/>
          <w:sz w:val="28"/>
          <w:szCs w:val="28"/>
          <w:lang w:val="en-US" w:eastAsia="zh-CN"/>
        </w:rPr>
        <w:t xml:space="preserve"> 项目实施方案》。</w:t>
      </w:r>
    </w:p>
    <w:p>
      <w:pPr>
        <w:pStyle w:val="47"/>
        <w:rPr>
          <w:rFonts w:hint="default"/>
          <w:bCs w:val="0"/>
          <w:color w:val="auto"/>
          <w:sz w:val="28"/>
          <w:szCs w:val="28"/>
          <w:lang w:val="en-US" w:eastAsia="zh-CN"/>
        </w:rPr>
      </w:pPr>
      <w:r>
        <w:rPr>
          <w:rFonts w:hint="eastAsia"/>
          <w:bCs w:val="0"/>
          <w:color w:val="auto"/>
          <w:sz w:val="28"/>
          <w:szCs w:val="28"/>
          <w:lang w:val="en-US" w:eastAsia="zh-CN"/>
        </w:rPr>
        <w:t>2022年10月—2023年9月，多渠道全面搜集国内外相关资料，梳理分析国内外相关政策、标准和技术现状。搜集国家、部委和重点省市等不同层级智能汽车领域政策文件，以及美国、欧盟、日本等国家或地区在智能交通和自动驾驶汽车方面的战略规划及政策文件，重点研究不同层级机构在智能汽车领域的政策规划、工作部署及配套实施等；系统梳理已发布的各项智能汽车基础地图及领域相关的国家、行业、地方和团体标准的制修订状态，和国际化组织智能运输系统技术委员会（ISO/TC204）已出版和制定中的标准；调研和获取车商、图商及相关技术机构在</w:t>
      </w:r>
      <w:r>
        <w:rPr>
          <w:rFonts w:hint="eastAsia"/>
          <w:bCs w:val="0"/>
          <w:color w:val="auto"/>
          <w:sz w:val="28"/>
          <w:szCs w:val="28"/>
          <w:highlight w:val="none"/>
          <w:lang w:val="en-US" w:eastAsia="zh-CN"/>
        </w:rPr>
        <w:t>智能汽车基础地图领域的应</w:t>
      </w:r>
      <w:r>
        <w:rPr>
          <w:rFonts w:hint="eastAsia"/>
          <w:bCs w:val="0"/>
          <w:color w:val="auto"/>
          <w:sz w:val="28"/>
          <w:szCs w:val="28"/>
          <w:lang w:val="en-US" w:eastAsia="zh-CN"/>
        </w:rPr>
        <w:t>用现状和核心需求，了解已发布智能汽车基础地图相关标准在行业内外的使用情况，征询行业内外对智能汽车基础地图要素分类与编码内容的具体需求。在资料分析和现状梳理的基础上，基于GB/T 1.1-2020的要求，构建标准框架，编写完成标准草案。</w:t>
      </w:r>
    </w:p>
    <w:p>
      <w:pPr>
        <w:pStyle w:val="47"/>
        <w:rPr>
          <w:rFonts w:hint="eastAsia"/>
          <w:bCs w:val="0"/>
          <w:color w:val="auto"/>
          <w:sz w:val="28"/>
          <w:szCs w:val="28"/>
          <w:lang w:val="en-US" w:eastAsia="zh-CN"/>
        </w:rPr>
      </w:pPr>
      <w:r>
        <w:rPr>
          <w:rFonts w:hint="eastAsia"/>
          <w:bCs w:val="0"/>
          <w:color w:val="auto"/>
          <w:sz w:val="28"/>
          <w:szCs w:val="28"/>
          <w:lang w:val="en-US" w:eastAsia="zh-CN"/>
        </w:rPr>
        <w:t>2023年10月26日，自然资源部测绘标准化研究所在西安组织召开行业标准《智能汽车基础地图要素分类和编码》启动会，邀请了自然资源部地图技术审查中心、中国测绘科学研究院、上海市测绘院、清华大学、武汉大学、天津师范大学、北京百度智图科技有限公司、易图通科技（北京）有限公司、腾讯大地通途（北京）科技有限公司、高德软件有限公司、陕西天润科技股份有限公司、北京美大智达科技有限公司（美团）、国汽大有时空科技（安庆）有限公司、重庆长安汽车股份有限公司、广东星舆科技有限公司、武汉中海庭数据技术有限公司、沈阳美行科技股份有限公司、湖北亿咖通科技有限公司、北京四维图新科技股份有限公司等单位共30余位专家，就本标准所涉及的基础地图要素范围、编码信息、与自驾等级关联方法等技术内容展开了深入的交流与研讨。</w:t>
      </w:r>
    </w:p>
    <w:p>
      <w:pPr>
        <w:pStyle w:val="47"/>
        <w:adjustRightInd w:val="0"/>
        <w:snapToGrid w:val="0"/>
        <w:rPr>
          <w:rFonts w:hint="default" w:ascii="仿宋" w:hAnsi="仿宋"/>
          <w:b/>
          <w:bCs/>
          <w:sz w:val="28"/>
          <w:szCs w:val="28"/>
          <w:lang w:eastAsia="zh-CN"/>
        </w:rPr>
      </w:pPr>
      <w:r>
        <w:rPr>
          <w:rFonts w:hint="eastAsia"/>
          <w:b/>
          <w:bCs/>
          <w:sz w:val="28"/>
          <w:szCs w:val="28"/>
          <w:lang w:eastAsia="zh-CN"/>
        </w:rPr>
        <w:t>（</w:t>
      </w:r>
      <w:r>
        <w:rPr>
          <w:rFonts w:hint="default" w:ascii="仿宋" w:hAnsi="仿宋"/>
          <w:b/>
          <w:bCs/>
          <w:sz w:val="28"/>
          <w:szCs w:val="28"/>
          <w:lang w:eastAsia="zh-CN"/>
        </w:rPr>
        <w:t>2）起草阶段</w:t>
      </w:r>
    </w:p>
    <w:p>
      <w:pPr>
        <w:pStyle w:val="47"/>
        <w:rPr>
          <w:rFonts w:hint="eastAsia"/>
          <w:bCs w:val="0"/>
          <w:color w:val="auto"/>
          <w:sz w:val="28"/>
          <w:szCs w:val="28"/>
          <w:lang w:val="en-US" w:eastAsia="zh-CN"/>
        </w:rPr>
      </w:pPr>
      <w:r>
        <w:rPr>
          <w:rFonts w:hint="eastAsia" w:ascii="仿宋" w:hAnsi="仿宋"/>
          <w:bCs w:val="0"/>
          <w:color w:val="auto"/>
          <w:sz w:val="28"/>
          <w:szCs w:val="28"/>
        </w:rPr>
        <w:t>2023年</w:t>
      </w:r>
      <w:r>
        <w:rPr>
          <w:rFonts w:hint="eastAsia" w:ascii="仿宋" w:hAnsi="仿宋"/>
          <w:bCs w:val="0"/>
          <w:color w:val="auto"/>
          <w:sz w:val="28"/>
          <w:szCs w:val="28"/>
          <w:lang w:eastAsia="zh-CN"/>
        </w:rPr>
        <w:t>1</w:t>
      </w:r>
      <w:r>
        <w:rPr>
          <w:rFonts w:hint="eastAsia"/>
          <w:bCs w:val="0"/>
          <w:color w:val="auto"/>
          <w:sz w:val="28"/>
          <w:szCs w:val="28"/>
          <w:lang w:val="en-US" w:eastAsia="zh-CN"/>
        </w:rPr>
        <w:t>1月—2024年4月，课题组选择上海等智能网联汽车高精度地图应用试点城市，到百度等相关企业和研究机构进行技术交流和调研，就标准草案内容进行调研、研讨，并就高精度地图开展数据采集、处理和应用等各个环节进行了技术交流，并收集了大量宝贵的第一手资料和意见。根据调研结果，课题组经过多轮讨论，对标准草案初稿进行了修改。</w:t>
      </w:r>
    </w:p>
    <w:p>
      <w:pPr>
        <w:pStyle w:val="47"/>
        <w:rPr>
          <w:rFonts w:hint="eastAsia"/>
          <w:bCs w:val="0"/>
          <w:color w:val="auto"/>
          <w:sz w:val="28"/>
          <w:szCs w:val="28"/>
          <w:lang w:val="en-US" w:eastAsia="zh-CN"/>
        </w:rPr>
      </w:pPr>
      <w:r>
        <w:rPr>
          <w:rFonts w:hint="eastAsia"/>
          <w:bCs w:val="0"/>
          <w:color w:val="auto"/>
          <w:sz w:val="28"/>
          <w:szCs w:val="28"/>
          <w:lang w:val="en-US" w:eastAsia="zh-CN"/>
        </w:rPr>
        <w:t>2024年5月—6月，对收集到的不同标准资料中智能汽车基础地图要素进行了梳理和分类，确定了更为科学、系统和适用的分类体系；充分考虑了与相关标准和规范的协调性和一致性，确保本标准能够与其他标准相互衔接、相互补充。根据重新梳理和分类的结果，课题组对标准草案中要素分类体系部分进行了多轮修订和完善。</w:t>
      </w:r>
    </w:p>
    <w:p>
      <w:pPr>
        <w:pStyle w:val="47"/>
        <w:rPr>
          <w:rFonts w:hint="eastAsia" w:ascii="仿宋" w:hAnsi="仿宋"/>
          <w:bCs w:val="0"/>
          <w:color w:val="auto"/>
          <w:sz w:val="28"/>
          <w:szCs w:val="28"/>
          <w:lang w:val="en-US" w:eastAsia="zh-CN"/>
        </w:rPr>
      </w:pPr>
      <w:r>
        <w:rPr>
          <w:rFonts w:hint="eastAsia" w:ascii="仿宋" w:hAnsi="仿宋"/>
          <w:bCs w:val="0"/>
          <w:color w:val="auto"/>
          <w:sz w:val="28"/>
          <w:szCs w:val="28"/>
          <w:lang w:val="en-US" w:eastAsia="zh-CN"/>
        </w:rPr>
        <w:t>2024年9月11日，自然资源部测绘标准化研究所在武汉就《智能汽车基础地图要素分类和编码》讨论稿召开标准研讨会，来自陕西省测绘学会、国家基础地理信息中心、自然资源部测绘标准化研究所、四川测绘地理信息局和武汉大学等单位的5名专家对标准内容进行了</w:t>
      </w:r>
      <w:r>
        <w:rPr>
          <w:rFonts w:hint="eastAsia"/>
          <w:bCs w:val="0"/>
          <w:color w:val="auto"/>
          <w:sz w:val="28"/>
          <w:szCs w:val="28"/>
          <w:lang w:val="en-US" w:eastAsia="zh-CN"/>
        </w:rPr>
        <w:t>研讨</w:t>
      </w:r>
      <w:r>
        <w:rPr>
          <w:rFonts w:hint="eastAsia" w:ascii="仿宋" w:hAnsi="仿宋"/>
          <w:bCs w:val="0"/>
          <w:color w:val="auto"/>
          <w:sz w:val="28"/>
          <w:szCs w:val="28"/>
          <w:lang w:val="en-US" w:eastAsia="zh-CN"/>
        </w:rPr>
        <w:t>，修改后形成</w:t>
      </w:r>
      <w:r>
        <w:rPr>
          <w:rFonts w:hint="eastAsia"/>
          <w:bCs w:val="0"/>
          <w:color w:val="auto"/>
          <w:sz w:val="28"/>
          <w:szCs w:val="28"/>
          <w:lang w:val="en-US" w:eastAsia="zh-CN"/>
        </w:rPr>
        <w:t>新一</w:t>
      </w:r>
      <w:r>
        <w:rPr>
          <w:rFonts w:hint="eastAsia" w:ascii="仿宋" w:hAnsi="仿宋"/>
          <w:bCs w:val="0"/>
          <w:color w:val="auto"/>
          <w:sz w:val="28"/>
          <w:szCs w:val="28"/>
          <w:lang w:val="en-US" w:eastAsia="zh-CN"/>
        </w:rPr>
        <w:t>版标准草案。</w:t>
      </w:r>
    </w:p>
    <w:p>
      <w:pPr>
        <w:pStyle w:val="47"/>
        <w:rPr>
          <w:rFonts w:hint="default"/>
          <w:bCs w:val="0"/>
          <w:color w:val="auto"/>
          <w:sz w:val="28"/>
          <w:szCs w:val="28"/>
          <w:lang w:val="en-US" w:eastAsia="zh-CN"/>
        </w:rPr>
      </w:pPr>
      <w:r>
        <w:rPr>
          <w:rFonts w:hint="eastAsia"/>
          <w:bCs w:val="0"/>
          <w:color w:val="auto"/>
          <w:sz w:val="28"/>
          <w:szCs w:val="28"/>
          <w:lang w:val="en-US" w:eastAsia="zh-CN"/>
        </w:rPr>
        <w:t>2024年10月，课题组内部组织召开会议，综合各方面专家意见，进一步调整了不同层级要素内容；并整理和收集不同的分类和编码标准，对草案中要素的分类和编码细节进行优化，形成新一版标准草案成果。</w:t>
      </w:r>
    </w:p>
    <w:p>
      <w:pPr>
        <w:pStyle w:val="47"/>
        <w:rPr>
          <w:rFonts w:hint="eastAsia"/>
          <w:bCs w:val="0"/>
          <w:sz w:val="28"/>
          <w:szCs w:val="28"/>
          <w:lang w:val="en-US" w:eastAsia="zh-CN"/>
        </w:rPr>
      </w:pPr>
      <w:r>
        <w:rPr>
          <w:rFonts w:hint="eastAsia" w:ascii="仿宋" w:hAnsi="仿宋"/>
          <w:bCs w:val="0"/>
          <w:color w:val="auto"/>
          <w:sz w:val="28"/>
          <w:szCs w:val="28"/>
          <w:lang w:val="en-US" w:eastAsia="zh-CN"/>
        </w:rPr>
        <w:t>2024年11月</w:t>
      </w:r>
      <w:r>
        <w:rPr>
          <w:rFonts w:hint="eastAsia"/>
          <w:bCs w:val="0"/>
          <w:color w:val="auto"/>
          <w:sz w:val="28"/>
          <w:szCs w:val="28"/>
          <w:lang w:val="en-US" w:eastAsia="zh-CN"/>
        </w:rPr>
        <w:t>，课题组就标准中的要素分类分级方案，设计智能汽车基础地图要素选取调研表，</w:t>
      </w:r>
      <w:r>
        <w:rPr>
          <w:rFonts w:hint="eastAsia" w:ascii="仿宋" w:hAnsi="仿宋"/>
          <w:bCs w:val="0"/>
          <w:color w:val="auto"/>
          <w:sz w:val="28"/>
          <w:szCs w:val="28"/>
          <w:lang w:val="en-US" w:eastAsia="zh-CN"/>
        </w:rPr>
        <w:t>向清华大学、武汉大学、自然资源部地图技术审查中心、中国测绘科学研究院、北京市测绘研究院、北京百度智图科技有限公司、广州小鹏汽车科技有限公司、武汉中海庭数据技术有限公司、沈阳美行科技股份有限公司、易图通科技（北京）有限公司、湖北亿咖通科技有限公司等单位相关专家</w:t>
      </w:r>
      <w:r>
        <w:rPr>
          <w:rFonts w:hint="eastAsia"/>
          <w:bCs w:val="0"/>
          <w:color w:val="auto"/>
          <w:sz w:val="28"/>
          <w:szCs w:val="28"/>
          <w:lang w:val="en-US" w:eastAsia="zh-CN"/>
        </w:rPr>
        <w:t>定向征求意见</w:t>
      </w:r>
      <w:r>
        <w:rPr>
          <w:rFonts w:hint="eastAsia" w:ascii="仿宋" w:hAnsi="仿宋"/>
          <w:bCs w:val="0"/>
          <w:color w:val="auto"/>
          <w:sz w:val="28"/>
          <w:szCs w:val="28"/>
          <w:lang w:val="en-US" w:eastAsia="zh-CN"/>
        </w:rPr>
        <w:t>，共收</w:t>
      </w:r>
      <w:r>
        <w:rPr>
          <w:rFonts w:hint="eastAsia" w:ascii="仿宋" w:hAnsi="仿宋"/>
          <w:bCs w:val="0"/>
          <w:sz w:val="28"/>
          <w:szCs w:val="28"/>
          <w:lang w:val="en-US" w:eastAsia="zh-CN"/>
        </w:rPr>
        <w:t>集专家意见</w:t>
      </w:r>
      <w:r>
        <w:rPr>
          <w:rFonts w:hint="eastAsia"/>
          <w:bCs w:val="0"/>
          <w:sz w:val="28"/>
          <w:szCs w:val="28"/>
          <w:lang w:val="en-US" w:eastAsia="zh-CN"/>
        </w:rPr>
        <w:t>11</w:t>
      </w:r>
      <w:r>
        <w:rPr>
          <w:rFonts w:hint="eastAsia" w:ascii="仿宋" w:hAnsi="仿宋"/>
          <w:bCs w:val="0"/>
          <w:sz w:val="28"/>
          <w:szCs w:val="28"/>
          <w:lang w:val="en-US" w:eastAsia="zh-CN"/>
        </w:rPr>
        <w:t>份</w:t>
      </w:r>
      <w:r>
        <w:rPr>
          <w:rFonts w:hint="eastAsia"/>
          <w:bCs w:val="0"/>
          <w:sz w:val="28"/>
          <w:szCs w:val="28"/>
          <w:lang w:val="en-US" w:eastAsia="zh-CN"/>
        </w:rPr>
        <w:t>。根据收集到的调研表，对草案中284项要素进行逐一分析。经过多轮的讨论和比较，确定了标准中要素纳入的原则，形成《智能汽车基础地图要素分类和编码》新版标准草案；</w:t>
      </w:r>
    </w:p>
    <w:p>
      <w:pPr>
        <w:pStyle w:val="47"/>
        <w:rPr>
          <w:rFonts w:hint="default"/>
          <w:bCs w:val="0"/>
          <w:sz w:val="28"/>
          <w:szCs w:val="28"/>
          <w:lang w:val="en-US" w:eastAsia="zh-CN"/>
        </w:rPr>
      </w:pPr>
      <w:r>
        <w:rPr>
          <w:rFonts w:hint="eastAsia"/>
          <w:bCs w:val="0"/>
          <w:sz w:val="28"/>
          <w:szCs w:val="28"/>
          <w:lang w:val="en-US" w:eastAsia="zh-CN"/>
        </w:rPr>
        <w:t>2024年12月</w:t>
      </w:r>
      <w:r>
        <w:rPr>
          <w:rFonts w:hint="eastAsia"/>
          <w:bCs w:val="0"/>
          <w:color w:val="auto"/>
          <w:sz w:val="28"/>
          <w:szCs w:val="28"/>
          <w:lang w:val="en-US" w:eastAsia="zh-CN"/>
        </w:rPr>
        <w:t>—</w:t>
      </w:r>
      <w:r>
        <w:rPr>
          <w:rFonts w:hint="eastAsia"/>
          <w:bCs w:val="0"/>
          <w:sz w:val="28"/>
          <w:szCs w:val="28"/>
          <w:lang w:val="en-US" w:eastAsia="zh-CN"/>
        </w:rPr>
        <w:t>1月，课题组借助《智能汽车基础地图术语》</w:t>
      </w:r>
      <w:r>
        <w:rPr>
          <w:rFonts w:hint="eastAsia"/>
        </w:rPr>
        <w:t>启动会暨相关标准术语研讨会</w:t>
      </w:r>
      <w:r>
        <w:rPr>
          <w:rFonts w:hint="eastAsia"/>
          <w:lang w:val="en-US" w:eastAsia="zh-CN"/>
        </w:rPr>
        <w:t>于2024年12月17日在北京召开的机会，与来自</w:t>
      </w:r>
      <w:r>
        <w:rPr>
          <w:rFonts w:hint="eastAsia"/>
        </w:rPr>
        <w:t>四川测绘地理信息局</w:t>
      </w:r>
      <w:r>
        <w:rPr>
          <w:rFonts w:hint="eastAsia"/>
          <w:lang w:eastAsia="zh-CN"/>
        </w:rPr>
        <w:t>、</w:t>
      </w:r>
      <w:r>
        <w:rPr>
          <w:rFonts w:hint="eastAsia"/>
        </w:rPr>
        <w:t>陕西省测绘地理信息学会</w:t>
      </w:r>
      <w:r>
        <w:rPr>
          <w:rFonts w:hint="eastAsia"/>
          <w:lang w:eastAsia="zh-CN"/>
        </w:rPr>
        <w:t>、</w:t>
      </w:r>
      <w:r>
        <w:rPr>
          <w:rFonts w:hint="eastAsia"/>
        </w:rPr>
        <w:t>国家基础地理信息中心</w:t>
      </w:r>
      <w:r>
        <w:rPr>
          <w:rFonts w:hint="eastAsia"/>
          <w:lang w:eastAsia="zh-CN"/>
        </w:rPr>
        <w:t>、</w:t>
      </w:r>
      <w:r>
        <w:rPr>
          <w:rFonts w:hint="eastAsia"/>
        </w:rPr>
        <w:t>自然资源部地图技术审查中心</w:t>
      </w:r>
      <w:r>
        <w:rPr>
          <w:rFonts w:hint="eastAsia"/>
          <w:lang w:eastAsia="zh-CN"/>
        </w:rPr>
        <w:t>、</w:t>
      </w:r>
      <w:r>
        <w:rPr>
          <w:rFonts w:hint="eastAsia"/>
        </w:rPr>
        <w:t>江苏省自然资源厅</w:t>
      </w:r>
      <w:r>
        <w:rPr>
          <w:rFonts w:hint="eastAsia"/>
          <w:lang w:eastAsia="zh-CN"/>
        </w:rPr>
        <w:t>、</w:t>
      </w:r>
      <w:r>
        <w:rPr>
          <w:rFonts w:hint="eastAsia"/>
        </w:rPr>
        <w:t>武汉大学</w:t>
      </w:r>
      <w:r>
        <w:rPr>
          <w:rFonts w:hint="eastAsia"/>
          <w:lang w:eastAsia="zh-CN"/>
        </w:rPr>
        <w:t>、</w:t>
      </w:r>
      <w:r>
        <w:rPr>
          <w:rFonts w:hint="eastAsia"/>
        </w:rPr>
        <w:t>北京百度智图科技有限公司</w:t>
      </w:r>
      <w:r>
        <w:rPr>
          <w:rFonts w:hint="eastAsia"/>
          <w:lang w:eastAsia="zh-CN"/>
        </w:rPr>
        <w:t>、</w:t>
      </w:r>
      <w:r>
        <w:rPr>
          <w:rFonts w:hint="eastAsia"/>
        </w:rPr>
        <w:t>中国测绘科学研究院</w:t>
      </w:r>
      <w:r>
        <w:rPr>
          <w:rFonts w:hint="eastAsia"/>
          <w:lang w:eastAsia="zh-CN"/>
        </w:rPr>
        <w:t>、</w:t>
      </w:r>
      <w:r>
        <w:rPr>
          <w:rFonts w:hint="eastAsia"/>
        </w:rPr>
        <w:t>国汽大有时空科技有限公司</w:t>
      </w:r>
      <w:r>
        <w:rPr>
          <w:rFonts w:hint="eastAsia"/>
          <w:lang w:eastAsia="zh-CN"/>
        </w:rPr>
        <w:t>、</w:t>
      </w:r>
      <w:r>
        <w:rPr>
          <w:rFonts w:hint="eastAsia"/>
        </w:rPr>
        <w:t>清华大学</w:t>
      </w:r>
      <w:r>
        <w:rPr>
          <w:rFonts w:hint="eastAsia"/>
          <w:lang w:val="en-US" w:eastAsia="zh-CN"/>
        </w:rPr>
        <w:t>等单位的30余位专家，共同研讨了智能汽车基础地图的定义和内涵，以及与</w:t>
      </w:r>
      <w:r>
        <w:rPr>
          <w:rFonts w:hint="eastAsia"/>
        </w:rPr>
        <w:t>《智能汽车基础地图术语</w:t>
      </w:r>
      <w:r>
        <w:rPr>
          <w:rFonts w:hint="eastAsia"/>
          <w:lang w:eastAsia="zh-CN"/>
        </w:rPr>
        <w:t>》《</w:t>
      </w:r>
      <w:r>
        <w:rPr>
          <w:rFonts w:hint="eastAsia"/>
        </w:rPr>
        <w:t>智能</w:t>
      </w:r>
      <w:r>
        <w:rPr>
          <w:rFonts w:hint="eastAsia"/>
          <w:lang w:val="en-US" w:eastAsia="zh-CN"/>
        </w:rPr>
        <w:t>汽车</w:t>
      </w:r>
      <w:r>
        <w:rPr>
          <w:rFonts w:hint="eastAsia"/>
        </w:rPr>
        <w:t>高精地图</w:t>
      </w:r>
      <w:r>
        <w:rPr>
          <w:rFonts w:hint="eastAsia"/>
          <w:lang w:val="en-US" w:eastAsia="zh-CN"/>
        </w:rPr>
        <w:t>框架</w:t>
      </w:r>
      <w:r>
        <w:rPr>
          <w:rFonts w:hint="eastAsia"/>
        </w:rPr>
        <w:t>模型》</w:t>
      </w:r>
      <w:r>
        <w:rPr>
          <w:rFonts w:hint="eastAsia"/>
          <w:lang w:eastAsia="zh-CN"/>
        </w:rPr>
        <w:t>《</w:t>
      </w:r>
      <w:r>
        <w:rPr>
          <w:rFonts w:hint="eastAsia"/>
        </w:rPr>
        <w:t>道路高精度电子导航地图质量规范</w:t>
      </w:r>
      <w:r>
        <w:rPr>
          <w:rFonts w:hint="eastAsia"/>
          <w:lang w:eastAsia="zh-CN"/>
        </w:rPr>
        <w:t>》《</w:t>
      </w:r>
      <w:r>
        <w:rPr>
          <w:rFonts w:hint="eastAsia"/>
        </w:rPr>
        <w:t>智能汽车基础地图数据传输安全保护技术规范</w:t>
      </w:r>
      <w:r>
        <w:rPr>
          <w:rFonts w:hint="eastAsia"/>
          <w:lang w:eastAsia="zh-CN"/>
        </w:rPr>
        <w:t>》《道路高精导航电子地图快速更新技术规范》</w:t>
      </w:r>
      <w:r>
        <w:rPr>
          <w:rFonts w:hint="eastAsia"/>
        </w:rPr>
        <w:t>等行业标准</w:t>
      </w:r>
      <w:r>
        <w:rPr>
          <w:rFonts w:hint="eastAsia"/>
          <w:lang w:val="en-US" w:eastAsia="zh-CN"/>
        </w:rPr>
        <w:t>的一致和协调问题。本次会议对推动本标准及相关标准的编制进程具有重要意义。课题组基于研讨会的研讨情况，进一步统一思想，修改调整了标准文本内容，保持与相关标准的协调。</w:t>
      </w:r>
    </w:p>
    <w:p>
      <w:pPr>
        <w:pStyle w:val="47"/>
        <w:rPr>
          <w:rFonts w:hint="eastAsia"/>
          <w:bCs w:val="0"/>
          <w:sz w:val="28"/>
          <w:szCs w:val="28"/>
          <w:lang w:val="en-US" w:eastAsia="zh-CN"/>
        </w:rPr>
      </w:pPr>
      <w:r>
        <w:rPr>
          <w:rFonts w:hint="eastAsia"/>
          <w:bCs w:val="0"/>
          <w:sz w:val="28"/>
          <w:szCs w:val="28"/>
          <w:lang w:val="en-US" w:eastAsia="zh-CN"/>
        </w:rPr>
        <w:t>2025年2月，课题组组织内部会议，对术语定义、编码规则、扩充原则等内容进行了审定，对标准文字细节进行梳理和修正，形成《智能汽车基础地图要素分类和编码》新版标准草案。</w:t>
      </w:r>
    </w:p>
    <w:p>
      <w:pPr>
        <w:pStyle w:val="47"/>
        <w:rPr>
          <w:rFonts w:hint="default"/>
          <w:bCs w:val="0"/>
          <w:sz w:val="28"/>
          <w:szCs w:val="28"/>
          <w:lang w:val="en-US" w:eastAsia="zh-CN"/>
        </w:rPr>
      </w:pPr>
      <w:r>
        <w:rPr>
          <w:rFonts w:hint="default"/>
          <w:bCs w:val="0"/>
          <w:sz w:val="28"/>
          <w:szCs w:val="28"/>
          <w:lang w:val="en-US" w:eastAsia="zh-CN"/>
        </w:rPr>
        <w:t>2025年</w:t>
      </w:r>
      <w:r>
        <w:rPr>
          <w:rFonts w:hint="eastAsia"/>
          <w:bCs w:val="0"/>
          <w:sz w:val="28"/>
          <w:szCs w:val="28"/>
          <w:lang w:val="en-US" w:eastAsia="zh-CN"/>
        </w:rPr>
        <w:t>3</w:t>
      </w:r>
      <w:r>
        <w:rPr>
          <w:rFonts w:hint="default"/>
          <w:bCs w:val="0"/>
          <w:sz w:val="28"/>
          <w:szCs w:val="28"/>
          <w:lang w:val="en-US" w:eastAsia="zh-CN"/>
        </w:rPr>
        <w:t>月</w:t>
      </w:r>
      <w:r>
        <w:rPr>
          <w:rFonts w:hint="eastAsia"/>
          <w:bCs w:val="0"/>
          <w:sz w:val="28"/>
          <w:szCs w:val="28"/>
          <w:lang w:val="en-US" w:eastAsia="zh-CN"/>
        </w:rPr>
        <w:t>26日</w:t>
      </w:r>
      <w:r>
        <w:rPr>
          <w:rFonts w:hint="default"/>
          <w:bCs w:val="0"/>
          <w:sz w:val="28"/>
          <w:szCs w:val="28"/>
          <w:lang w:val="en-US" w:eastAsia="zh-CN"/>
        </w:rPr>
        <w:t>，</w:t>
      </w:r>
      <w:r>
        <w:rPr>
          <w:rFonts w:hint="eastAsia"/>
          <w:bCs w:val="0"/>
          <w:sz w:val="28"/>
          <w:szCs w:val="28"/>
          <w:lang w:val="en-US" w:eastAsia="zh-CN"/>
        </w:rPr>
        <w:t>课题组组织标准研讨会，邀请</w:t>
      </w:r>
      <w:r>
        <w:rPr>
          <w:rFonts w:hint="eastAsia"/>
        </w:rPr>
        <w:t>清华大学</w:t>
      </w:r>
      <w:r>
        <w:rPr>
          <w:rFonts w:hint="eastAsia"/>
          <w:lang w:eastAsia="zh-CN"/>
        </w:rPr>
        <w:t>、</w:t>
      </w:r>
      <w:r>
        <w:rPr>
          <w:rFonts w:hint="eastAsia"/>
        </w:rPr>
        <w:t>武汉大学</w:t>
      </w:r>
      <w:r>
        <w:rPr>
          <w:rFonts w:hint="eastAsia"/>
          <w:lang w:eastAsia="zh-CN"/>
        </w:rPr>
        <w:t>、</w:t>
      </w:r>
      <w:r>
        <w:rPr>
          <w:rFonts w:hint="eastAsia"/>
        </w:rPr>
        <w:t>北京市测绘设计研究院</w:t>
      </w:r>
      <w:r>
        <w:rPr>
          <w:rFonts w:hint="eastAsia"/>
          <w:lang w:eastAsia="zh-CN"/>
        </w:rPr>
        <w:t>、</w:t>
      </w:r>
      <w:r>
        <w:rPr>
          <w:rFonts w:hint="eastAsia"/>
        </w:rPr>
        <w:t>沈阳美行科技股份有限公司</w:t>
      </w:r>
      <w:r>
        <w:rPr>
          <w:rFonts w:hint="eastAsia"/>
          <w:lang w:eastAsia="zh-CN"/>
        </w:rPr>
        <w:t>、</w:t>
      </w:r>
      <w:r>
        <w:rPr>
          <w:rFonts w:hint="eastAsia"/>
        </w:rPr>
        <w:t>北京四维图新科技股份有限公司</w:t>
      </w:r>
      <w:r>
        <w:rPr>
          <w:rFonts w:hint="eastAsia"/>
          <w:lang w:eastAsia="zh-CN"/>
        </w:rPr>
        <w:t>、</w:t>
      </w:r>
      <w:r>
        <w:rPr>
          <w:rFonts w:hint="eastAsia"/>
        </w:rPr>
        <w:t>易图通科技（北京）有限公司</w:t>
      </w:r>
      <w:r>
        <w:rPr>
          <w:rFonts w:hint="eastAsia"/>
          <w:lang w:eastAsia="zh-CN"/>
        </w:rPr>
        <w:t>、</w:t>
      </w:r>
      <w:r>
        <w:rPr>
          <w:rFonts w:hint="eastAsia"/>
        </w:rPr>
        <w:t>中国测绘科学研究院</w:t>
      </w:r>
      <w:r>
        <w:rPr>
          <w:rFonts w:hint="eastAsia"/>
          <w:lang w:eastAsia="zh-CN"/>
        </w:rPr>
        <w:t>、</w:t>
      </w:r>
      <w:r>
        <w:rPr>
          <w:rFonts w:hint="eastAsia"/>
        </w:rPr>
        <w:t>北京百度智图科技有限公司</w:t>
      </w:r>
      <w:r>
        <w:rPr>
          <w:rFonts w:hint="eastAsia"/>
          <w:lang w:eastAsia="zh-CN"/>
        </w:rPr>
        <w:t>、</w:t>
      </w:r>
      <w:r>
        <w:rPr>
          <w:rFonts w:hint="eastAsia"/>
        </w:rPr>
        <w:t>广州市规划和自然资源自动化中心</w:t>
      </w:r>
      <w:r>
        <w:rPr>
          <w:rFonts w:hint="eastAsia"/>
          <w:lang w:val="en-US" w:eastAsia="zh-CN"/>
        </w:rPr>
        <w:t>等专家，对标准全文内容进行逐字逐句研讨。课题组结合专家意见进行修改，</w:t>
      </w:r>
      <w:r>
        <w:rPr>
          <w:rFonts w:hint="default"/>
          <w:bCs w:val="0"/>
          <w:sz w:val="28"/>
          <w:szCs w:val="28"/>
          <w:lang w:val="en-US" w:eastAsia="zh-CN"/>
        </w:rPr>
        <w:t>形成《智能汽车基础地图要素分类和编码》</w:t>
      </w:r>
      <w:r>
        <w:rPr>
          <w:rFonts w:hint="eastAsia"/>
          <w:bCs w:val="0"/>
          <w:sz w:val="28"/>
          <w:szCs w:val="28"/>
          <w:lang w:val="en-US" w:eastAsia="zh-CN"/>
        </w:rPr>
        <w:t>（征求意见稿）</w:t>
      </w:r>
      <w:r>
        <w:rPr>
          <w:rFonts w:hint="default"/>
          <w:bCs w:val="0"/>
          <w:sz w:val="28"/>
          <w:szCs w:val="28"/>
          <w:lang w:val="en-US" w:eastAsia="zh-CN"/>
        </w:rPr>
        <w:t>。</w:t>
      </w:r>
    </w:p>
    <w:p>
      <w:pPr>
        <w:pStyle w:val="47"/>
        <w:adjustRightInd w:val="0"/>
        <w:snapToGrid w:val="0"/>
        <w:rPr>
          <w:rFonts w:hint="eastAsia"/>
          <w:b/>
          <w:bCs/>
          <w:sz w:val="28"/>
          <w:szCs w:val="28"/>
          <w:lang w:eastAsia="zh-CN"/>
        </w:rPr>
      </w:pPr>
      <w:r>
        <w:rPr>
          <w:rFonts w:hint="eastAsia"/>
          <w:b/>
          <w:bCs/>
          <w:sz w:val="28"/>
          <w:szCs w:val="28"/>
          <w:lang w:eastAsia="zh-CN"/>
        </w:rPr>
        <w:t>（3）</w:t>
      </w:r>
      <w:r>
        <w:rPr>
          <w:rFonts w:hint="default"/>
          <w:b/>
          <w:bCs/>
          <w:sz w:val="28"/>
          <w:szCs w:val="28"/>
          <w:lang w:eastAsia="zh-CN"/>
        </w:rPr>
        <w:t>征求意见阶段</w:t>
      </w:r>
    </w:p>
    <w:p>
      <w:pPr>
        <w:pStyle w:val="47"/>
        <w:adjustRightInd w:val="0"/>
        <w:snapToGrid w:val="0"/>
        <w:rPr>
          <w:rFonts w:hint="eastAsia"/>
          <w:b/>
          <w:bCs/>
          <w:sz w:val="28"/>
          <w:szCs w:val="28"/>
          <w:lang w:eastAsia="zh-CN"/>
        </w:rPr>
      </w:pPr>
      <w:r>
        <w:rPr>
          <w:rFonts w:hint="eastAsia"/>
          <w:b/>
          <w:bCs/>
          <w:sz w:val="28"/>
          <w:szCs w:val="28"/>
          <w:lang w:eastAsia="zh-CN"/>
        </w:rPr>
        <w:t>（4</w:t>
      </w:r>
      <w:r>
        <w:rPr>
          <w:rFonts w:hint="default"/>
          <w:b/>
          <w:bCs/>
          <w:sz w:val="28"/>
          <w:szCs w:val="28"/>
          <w:lang w:eastAsia="zh-CN"/>
        </w:rPr>
        <w:t>）送审阶段</w:t>
      </w:r>
    </w:p>
    <w:p>
      <w:pPr>
        <w:pStyle w:val="47"/>
        <w:adjustRightInd w:val="0"/>
        <w:snapToGrid w:val="0"/>
        <w:rPr>
          <w:rFonts w:hint="eastAsia"/>
          <w:b/>
          <w:bCs/>
          <w:sz w:val="28"/>
          <w:szCs w:val="28"/>
          <w:lang w:eastAsia="zh-CN"/>
        </w:rPr>
      </w:pPr>
      <w:r>
        <w:rPr>
          <w:rFonts w:hint="eastAsia"/>
          <w:b/>
          <w:bCs/>
          <w:sz w:val="28"/>
          <w:szCs w:val="28"/>
          <w:lang w:eastAsia="zh-CN"/>
        </w:rPr>
        <w:t>（5</w:t>
      </w:r>
      <w:r>
        <w:rPr>
          <w:rFonts w:hint="default"/>
          <w:b/>
          <w:bCs/>
          <w:sz w:val="28"/>
          <w:szCs w:val="28"/>
          <w:lang w:eastAsia="zh-CN"/>
        </w:rPr>
        <w:t>）报批阶段</w:t>
      </w:r>
    </w:p>
    <w:p>
      <w:pPr>
        <w:pStyle w:val="48"/>
        <w:keepNext w:val="0"/>
        <w:keepLines w:val="0"/>
        <w:widowControl w:val="0"/>
        <w:numPr>
          <w:ilvl w:val="0"/>
          <w:numId w:val="0"/>
        </w:numPr>
        <w:adjustRightInd w:val="0"/>
        <w:snapToGrid w:val="0"/>
        <w:spacing w:before="120" w:after="120" w:line="360" w:lineRule="auto"/>
        <w:ind w:firstLine="0" w:firstLineChars="0"/>
        <w:rPr>
          <w:rFonts w:hint="eastAsia" w:ascii="黑体" w:hAnsi="黑体" w:eastAsia="黑体"/>
        </w:rPr>
      </w:pPr>
      <w:bookmarkStart w:id="14" w:name="_Toc176468786"/>
      <w:bookmarkEnd w:id="14"/>
      <w:bookmarkStart w:id="15" w:name="_Toc176468796"/>
      <w:bookmarkEnd w:id="15"/>
      <w:bookmarkStart w:id="16" w:name="_Toc176468791"/>
      <w:bookmarkEnd w:id="16"/>
      <w:bookmarkStart w:id="17" w:name="_Toc176468789"/>
      <w:bookmarkEnd w:id="17"/>
      <w:bookmarkStart w:id="18" w:name="_Toc176468778"/>
      <w:bookmarkEnd w:id="18"/>
      <w:bookmarkStart w:id="19" w:name="_Toc176468783"/>
      <w:bookmarkEnd w:id="19"/>
      <w:bookmarkStart w:id="20" w:name="_Toc176468784"/>
      <w:bookmarkEnd w:id="20"/>
      <w:bookmarkStart w:id="21" w:name="_Toc176468773"/>
      <w:bookmarkEnd w:id="21"/>
      <w:bookmarkStart w:id="22" w:name="_Toc176468794"/>
      <w:bookmarkEnd w:id="22"/>
      <w:bookmarkStart w:id="23" w:name="_Toc176468797"/>
      <w:bookmarkEnd w:id="23"/>
      <w:bookmarkStart w:id="24" w:name="_Toc176468771"/>
      <w:bookmarkEnd w:id="24"/>
      <w:bookmarkStart w:id="25" w:name="_Toc176468777"/>
      <w:bookmarkEnd w:id="25"/>
      <w:bookmarkStart w:id="26" w:name="_Toc176468800"/>
      <w:bookmarkEnd w:id="26"/>
      <w:bookmarkStart w:id="27" w:name="_Toc176468782"/>
      <w:bookmarkEnd w:id="27"/>
      <w:bookmarkStart w:id="28" w:name="_Toc176468801"/>
      <w:bookmarkEnd w:id="28"/>
      <w:bookmarkStart w:id="29" w:name="_Toc176468770"/>
      <w:bookmarkEnd w:id="29"/>
      <w:bookmarkStart w:id="30" w:name="_Toc176468781"/>
      <w:bookmarkEnd w:id="30"/>
      <w:bookmarkStart w:id="31" w:name="_Toc176468772"/>
      <w:bookmarkEnd w:id="31"/>
      <w:bookmarkStart w:id="32" w:name="_Toc176468790"/>
      <w:bookmarkEnd w:id="32"/>
      <w:bookmarkStart w:id="33" w:name="_Toc176468799"/>
      <w:bookmarkEnd w:id="33"/>
      <w:bookmarkStart w:id="34" w:name="_Toc176468776"/>
      <w:bookmarkEnd w:id="34"/>
      <w:bookmarkStart w:id="35" w:name="_Toc176468793"/>
      <w:bookmarkEnd w:id="35"/>
      <w:bookmarkStart w:id="36" w:name="_Toc176468785"/>
      <w:bookmarkEnd w:id="36"/>
      <w:bookmarkStart w:id="37" w:name="_Toc176468795"/>
      <w:bookmarkEnd w:id="37"/>
      <w:bookmarkStart w:id="38" w:name="_Toc176468779"/>
      <w:bookmarkEnd w:id="38"/>
      <w:bookmarkStart w:id="39" w:name="_Toc176468788"/>
      <w:bookmarkEnd w:id="39"/>
      <w:bookmarkStart w:id="40" w:name="_Toc176468775"/>
      <w:bookmarkEnd w:id="40"/>
      <w:bookmarkStart w:id="41" w:name="_Toc176468774"/>
      <w:bookmarkEnd w:id="41"/>
      <w:bookmarkStart w:id="42" w:name="_Toc176468780"/>
      <w:bookmarkEnd w:id="42"/>
      <w:bookmarkStart w:id="43" w:name="_Toc176468792"/>
      <w:bookmarkEnd w:id="43"/>
      <w:bookmarkStart w:id="44" w:name="_Toc176468787"/>
      <w:bookmarkEnd w:id="44"/>
      <w:bookmarkStart w:id="45" w:name="_Toc176468798"/>
      <w:bookmarkEnd w:id="45"/>
      <w:bookmarkStart w:id="46" w:name="_Toc8875"/>
      <w:r>
        <w:rPr>
          <w:rFonts w:hint="eastAsia" w:ascii="黑体" w:hAnsi="黑体" w:eastAsia="黑体" w:cs="Times New Roman"/>
          <w:kern w:val="2"/>
          <w:sz w:val="32"/>
          <w:szCs w:val="32"/>
          <w:lang w:val="en-US" w:eastAsia="zh-CN" w:bidi="ar-SA"/>
        </w:rPr>
        <w:t>二、</w:t>
      </w:r>
      <w:r>
        <w:rPr>
          <w:rFonts w:hint="eastAsia" w:ascii="黑体" w:hAnsi="黑体" w:eastAsia="黑体"/>
        </w:rPr>
        <w:t>标准编制原则、主要内容及其确定依据</w:t>
      </w:r>
      <w:bookmarkEnd w:id="46"/>
    </w:p>
    <w:p>
      <w:pPr>
        <w:pStyle w:val="49"/>
        <w:rPr>
          <w:rFonts w:hint="default"/>
          <w:lang w:val="en-US" w:eastAsia="zh-CN"/>
        </w:rPr>
      </w:pPr>
      <w:bookmarkStart w:id="47" w:name="_Toc24897"/>
      <w:r>
        <w:rPr>
          <w:rFonts w:hint="eastAsia"/>
          <w:lang w:val="en-US" w:eastAsia="zh-CN"/>
        </w:rPr>
        <w:t>2.</w:t>
      </w:r>
      <w:r>
        <w:rPr>
          <w:rFonts w:hint="default"/>
          <w:lang w:val="en-US" w:eastAsia="zh-CN"/>
        </w:rPr>
        <w:t>1.标准制定原则</w:t>
      </w:r>
      <w:bookmarkEnd w:id="47"/>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本文件编写按</w:t>
      </w:r>
      <w:r>
        <w:rPr>
          <w:rFonts w:hint="eastAsia" w:ascii="仿宋" w:hAnsi="仿宋" w:cs="Times New Roman"/>
          <w:color w:val="000000"/>
          <w:szCs w:val="28"/>
        </w:rPr>
        <w:t xml:space="preserve"> 《标准化工作导则 第1部分：标准化文件的结构和起草规则》（GB/T 1.1—2020）</w:t>
      </w:r>
      <w:r>
        <w:rPr>
          <w:rFonts w:hint="eastAsia" w:ascii="仿宋" w:hAnsi="仿宋" w:cs="Times New Roman"/>
          <w:color w:val="000000"/>
          <w:szCs w:val="28"/>
          <w:lang w:val="en-US" w:eastAsia="zh-CN"/>
        </w:rPr>
        <w:t>的规定起草</w:t>
      </w:r>
      <w:r>
        <w:rPr>
          <w:rFonts w:hint="eastAsia" w:ascii="仿宋" w:hAnsi="仿宋" w:cs="Times New Roman"/>
          <w:color w:val="000000"/>
          <w:szCs w:val="28"/>
        </w:rPr>
        <w:t>。</w:t>
      </w:r>
      <w:r>
        <w:rPr>
          <w:rFonts w:hint="eastAsia" w:ascii="仿宋" w:hAnsi="仿宋" w:cs="Times New Roman"/>
          <w:color w:val="000000"/>
          <w:szCs w:val="28"/>
          <w:lang w:val="en-US" w:eastAsia="zh-CN"/>
        </w:rPr>
        <w:t>起草过程中，要素的分类和编码充分考虑与国内外现有相关标准的协调和统一，充分考虑国内当前的行业技术水平，与相关利益方充分沟通讨论并征求意见。在此基础上，主要遵循以下原则：</w:t>
      </w:r>
    </w:p>
    <w:p>
      <w:pPr>
        <w:pStyle w:val="47"/>
        <w:adjustRightInd w:val="0"/>
        <w:snapToGrid w:val="0"/>
        <w:rPr>
          <w:rFonts w:hint="eastAsia" w:ascii="仿宋" w:hAnsi="仿宋" w:cs="Times New Roman"/>
          <w:b/>
          <w:bCs/>
          <w:color w:val="000000"/>
          <w:szCs w:val="28"/>
          <w:lang w:val="en-US" w:eastAsia="zh-CN"/>
        </w:rPr>
      </w:pPr>
      <w:bookmarkStart w:id="48" w:name="_Toc9107"/>
      <w:bookmarkStart w:id="49" w:name="_Toc88229700"/>
      <w:r>
        <w:rPr>
          <w:rFonts w:hint="eastAsia" w:cs="Times New Roman"/>
          <w:b/>
          <w:bCs/>
          <w:color w:val="000000"/>
          <w:szCs w:val="28"/>
          <w:lang w:val="en-US" w:eastAsia="zh-CN"/>
        </w:rPr>
        <w:t>（1）</w:t>
      </w:r>
      <w:r>
        <w:rPr>
          <w:rFonts w:hint="eastAsia" w:ascii="仿宋" w:hAnsi="仿宋" w:cs="Times New Roman"/>
          <w:b/>
          <w:bCs/>
          <w:color w:val="000000"/>
          <w:szCs w:val="28"/>
          <w:lang w:val="en-US" w:eastAsia="zh-CN"/>
        </w:rPr>
        <w:t>科学性</w:t>
      </w:r>
      <w:bookmarkEnd w:id="48"/>
      <w:bookmarkEnd w:id="49"/>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分类和编码应符合现实世界道路及附属设施信息的组织规则，以道路数据满足智能驾驶应用和管理为目标，按照道路交通信息的要素特征或属性进行科学分类，形成系统的分类体系。</w:t>
      </w:r>
    </w:p>
    <w:p>
      <w:pPr>
        <w:pStyle w:val="47"/>
        <w:adjustRightInd w:val="0"/>
        <w:snapToGrid w:val="0"/>
        <w:rPr>
          <w:rFonts w:hint="eastAsia" w:ascii="仿宋" w:hAnsi="仿宋" w:cs="Times New Roman"/>
          <w:b/>
          <w:bCs/>
          <w:color w:val="000000"/>
          <w:szCs w:val="28"/>
          <w:lang w:val="en-US" w:eastAsia="zh-CN"/>
        </w:rPr>
      </w:pPr>
      <w:bookmarkStart w:id="50" w:name="_Toc88229701"/>
      <w:bookmarkStart w:id="51" w:name="_Toc12909"/>
      <w:r>
        <w:rPr>
          <w:rFonts w:hint="eastAsia" w:cs="Times New Roman"/>
          <w:b/>
          <w:bCs/>
          <w:color w:val="000000"/>
          <w:szCs w:val="28"/>
          <w:lang w:val="en-US" w:eastAsia="zh-CN"/>
        </w:rPr>
        <w:t>（2）</w:t>
      </w:r>
      <w:r>
        <w:rPr>
          <w:rFonts w:hint="eastAsia" w:ascii="仿宋" w:hAnsi="仿宋" w:cs="Times New Roman"/>
          <w:b/>
          <w:bCs/>
          <w:color w:val="000000"/>
          <w:szCs w:val="28"/>
          <w:lang w:val="en-US" w:eastAsia="zh-CN"/>
        </w:rPr>
        <w:t>系统性</w:t>
      </w:r>
      <w:bookmarkEnd w:id="50"/>
      <w:bookmarkEnd w:id="51"/>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分类体系结构应正确反映道路交通信息要素纵向、横向的体系结构，分类、分级应合理清晰，同级分类应保持同样的分类视角。</w:t>
      </w:r>
    </w:p>
    <w:p>
      <w:pPr>
        <w:pStyle w:val="47"/>
        <w:adjustRightInd w:val="0"/>
        <w:snapToGrid w:val="0"/>
        <w:rPr>
          <w:rFonts w:hint="eastAsia" w:cs="Times New Roman"/>
          <w:b/>
          <w:bCs/>
          <w:color w:val="000000"/>
          <w:szCs w:val="28"/>
          <w:lang w:val="en-US" w:eastAsia="zh-CN"/>
        </w:rPr>
      </w:pPr>
      <w:bookmarkStart w:id="52" w:name="_Toc88229702"/>
      <w:bookmarkStart w:id="53" w:name="_Toc23745"/>
      <w:r>
        <w:rPr>
          <w:rFonts w:hint="eastAsia" w:cs="Times New Roman"/>
          <w:b/>
          <w:bCs/>
          <w:color w:val="000000"/>
          <w:szCs w:val="28"/>
          <w:lang w:val="en-US" w:eastAsia="zh-CN"/>
        </w:rPr>
        <w:t>（3）适用性</w:t>
      </w:r>
      <w:bookmarkEnd w:id="52"/>
      <w:bookmarkEnd w:id="53"/>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能最大限度兼容原有基础地理信息要素、导航电子地图数据以及道路交通标志分类体系，满足智能驾驶领域的数据融合与共享交换。</w:t>
      </w:r>
    </w:p>
    <w:p>
      <w:pPr>
        <w:pStyle w:val="47"/>
        <w:adjustRightInd w:val="0"/>
        <w:snapToGrid w:val="0"/>
        <w:rPr>
          <w:rFonts w:hint="eastAsia" w:cs="Times New Roman"/>
          <w:b/>
          <w:bCs/>
          <w:color w:val="000000"/>
          <w:szCs w:val="28"/>
          <w:lang w:val="en-US" w:eastAsia="zh-CN"/>
        </w:rPr>
      </w:pPr>
      <w:bookmarkStart w:id="54" w:name="_Toc20874"/>
      <w:bookmarkStart w:id="55" w:name="_Toc88229703"/>
      <w:r>
        <w:rPr>
          <w:rFonts w:hint="eastAsia" w:cs="Times New Roman"/>
          <w:b/>
          <w:bCs/>
          <w:color w:val="000000"/>
          <w:szCs w:val="28"/>
          <w:lang w:val="en-US" w:eastAsia="zh-CN"/>
        </w:rPr>
        <w:t>（4）协调性</w:t>
      </w:r>
      <w:bookmarkEnd w:id="54"/>
      <w:bookmarkEnd w:id="55"/>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同一要素在同一分类体系中应有唯一的</w:t>
      </w:r>
      <w:r>
        <w:rPr>
          <w:rFonts w:hint="eastAsia" w:cs="Times New Roman"/>
          <w:color w:val="000000"/>
          <w:szCs w:val="28"/>
          <w:lang w:val="en-US" w:eastAsia="zh-CN"/>
        </w:rPr>
        <w:t>编</w:t>
      </w:r>
      <w:r>
        <w:rPr>
          <w:rFonts w:hint="eastAsia" w:ascii="仿宋" w:hAnsi="仿宋" w:cs="Times New Roman"/>
          <w:color w:val="000000"/>
          <w:szCs w:val="28"/>
          <w:lang w:val="en-US" w:eastAsia="zh-CN"/>
        </w:rPr>
        <w:t>码，且与相应领域国家标准中的分类保持协调。</w:t>
      </w:r>
    </w:p>
    <w:p>
      <w:pPr>
        <w:pStyle w:val="47"/>
        <w:adjustRightInd w:val="0"/>
        <w:snapToGrid w:val="0"/>
        <w:rPr>
          <w:rFonts w:hint="eastAsia" w:cs="Times New Roman"/>
          <w:b/>
          <w:bCs/>
          <w:color w:val="000000"/>
          <w:szCs w:val="28"/>
          <w:lang w:val="en-US" w:eastAsia="zh-CN"/>
        </w:rPr>
      </w:pPr>
      <w:bookmarkStart w:id="56" w:name="_Toc28303"/>
      <w:bookmarkStart w:id="57" w:name="_Toc88229704"/>
      <w:r>
        <w:rPr>
          <w:rFonts w:hint="eastAsia" w:cs="Times New Roman"/>
          <w:b/>
          <w:bCs/>
          <w:color w:val="000000"/>
          <w:szCs w:val="28"/>
          <w:lang w:val="en-US" w:eastAsia="zh-CN"/>
        </w:rPr>
        <w:t>（5）可扩展性</w:t>
      </w:r>
      <w:bookmarkEnd w:id="56"/>
      <w:bookmarkEnd w:id="57"/>
    </w:p>
    <w:p>
      <w:pPr>
        <w:pStyle w:val="47"/>
        <w:adjustRightInd w:val="0"/>
        <w:snapToGrid w:val="0"/>
        <w:rPr>
          <w:rFonts w:hint="eastAsia" w:ascii="仿宋" w:hAnsi="仿宋" w:eastAsia="仿宋" w:cs="Times New Roman"/>
          <w:color w:val="000000"/>
          <w:szCs w:val="28"/>
          <w:lang w:val="en-US" w:eastAsia="zh-CN"/>
        </w:rPr>
      </w:pPr>
      <w:r>
        <w:rPr>
          <w:rFonts w:hint="eastAsia" w:ascii="仿宋" w:hAnsi="仿宋" w:cs="Times New Roman"/>
          <w:color w:val="000000"/>
          <w:szCs w:val="28"/>
          <w:lang w:val="en-US" w:eastAsia="zh-CN"/>
        </w:rPr>
        <w:t>分类和编码应实现高位统一，低位保持充足的扩充余地。</w:t>
      </w:r>
    </w:p>
    <w:p>
      <w:pPr>
        <w:pStyle w:val="49"/>
        <w:rPr>
          <w:rFonts w:hint="eastAsia" w:cs="Times New Roman"/>
          <w:b/>
          <w:kern w:val="2"/>
          <w:sz w:val="30"/>
          <w:szCs w:val="30"/>
          <w:lang w:val="en-US" w:eastAsia="zh-CN" w:bidi="ar-SA"/>
        </w:rPr>
      </w:pPr>
      <w:bookmarkStart w:id="58" w:name="_Toc26036"/>
      <w:r>
        <w:rPr>
          <w:rFonts w:hint="eastAsia" w:cs="Times New Roman"/>
          <w:b/>
          <w:kern w:val="2"/>
          <w:sz w:val="30"/>
          <w:szCs w:val="30"/>
          <w:lang w:val="en-US" w:eastAsia="zh-CN" w:bidi="ar-SA"/>
        </w:rPr>
        <w:t>2.2主要内容及其确定依据</w:t>
      </w:r>
      <w:bookmarkEnd w:id="58"/>
    </w:p>
    <w:p>
      <w:pPr>
        <w:pStyle w:val="49"/>
        <w:outlineLvl w:val="2"/>
        <w:rPr>
          <w:rFonts w:hint="default" w:cs="Times New Roman"/>
          <w:b/>
          <w:kern w:val="2"/>
          <w:sz w:val="30"/>
          <w:szCs w:val="30"/>
          <w:lang w:val="en-US" w:eastAsia="zh-CN" w:bidi="ar-SA"/>
        </w:rPr>
      </w:pPr>
      <w:bookmarkStart w:id="59" w:name="_Toc10536"/>
      <w:r>
        <w:rPr>
          <w:rFonts w:hint="eastAsia" w:cs="Times New Roman"/>
          <w:b/>
          <w:kern w:val="2"/>
          <w:sz w:val="30"/>
          <w:szCs w:val="30"/>
          <w:lang w:val="en-US" w:eastAsia="zh-CN" w:bidi="ar-SA"/>
        </w:rPr>
        <w:t>2.2.1总体编写</w:t>
      </w:r>
      <w:bookmarkEnd w:id="59"/>
      <w:r>
        <w:rPr>
          <w:rFonts w:hint="eastAsia" w:cs="Times New Roman"/>
          <w:b/>
          <w:kern w:val="2"/>
          <w:sz w:val="30"/>
          <w:szCs w:val="30"/>
          <w:lang w:val="en-US" w:eastAsia="zh-CN" w:bidi="ar-SA"/>
        </w:rPr>
        <w:t>和确定依据</w:t>
      </w:r>
    </w:p>
    <w:p>
      <w:pPr>
        <w:pStyle w:val="47"/>
        <w:adjustRightInd w:val="0"/>
        <w:snapToGrid w:val="0"/>
        <w:rPr>
          <w:rFonts w:hint="eastAsia"/>
          <w:lang w:val="en-US" w:eastAsia="zh-CN"/>
        </w:rPr>
      </w:pPr>
      <w:r>
        <w:rPr>
          <w:rFonts w:hint="eastAsia"/>
          <w:lang w:val="en-US"/>
        </w:rPr>
        <w:t>本标准主要依据《中华人民共和国测绘法》等法律法规，</w:t>
      </w:r>
      <w:r>
        <w:rPr>
          <w:rFonts w:hint="eastAsia"/>
          <w:lang w:val="en-US" w:eastAsia="zh-CN"/>
        </w:rPr>
        <w:t>严格按照</w:t>
      </w:r>
      <w:r>
        <w:rPr>
          <w:rFonts w:hint="eastAsia"/>
          <w:lang w:val="en-US"/>
        </w:rPr>
        <w:t>《标准化工作导则 第1部分：标准的结构和编写》（GB/T 1.1—2020）</w:t>
      </w:r>
      <w:r>
        <w:rPr>
          <w:rFonts w:hint="eastAsia"/>
          <w:lang w:val="en-US" w:eastAsia="zh-CN"/>
        </w:rPr>
        <w:t>进行标准文本编制。</w:t>
      </w:r>
    </w:p>
    <w:p>
      <w:pPr>
        <w:pStyle w:val="47"/>
        <w:adjustRightInd w:val="0"/>
        <w:snapToGrid w:val="0"/>
        <w:rPr>
          <w:rFonts w:hint="eastAsia" w:ascii="仿宋" w:hAnsi="仿宋" w:cs="Times New Roman"/>
          <w:color w:val="000000"/>
          <w:szCs w:val="28"/>
          <w:lang w:val="en-US" w:eastAsia="zh-CN"/>
        </w:rPr>
      </w:pPr>
      <w:r>
        <w:rPr>
          <w:rFonts w:hint="eastAsia" w:ascii="仿宋" w:hAnsi="仿宋" w:cs="Times New Roman"/>
          <w:color w:val="000000"/>
          <w:szCs w:val="28"/>
          <w:lang w:val="en-US" w:eastAsia="zh-CN"/>
        </w:rPr>
        <w:t>本文件主要内容包括范围、规范性引用文件、术语和定义、分类</w:t>
      </w:r>
      <w:r>
        <w:rPr>
          <w:rFonts w:hint="eastAsia" w:cs="Times New Roman"/>
          <w:color w:val="000000"/>
          <w:szCs w:val="28"/>
          <w:lang w:val="en-US" w:eastAsia="zh-CN"/>
        </w:rPr>
        <w:t>和</w:t>
      </w:r>
      <w:r>
        <w:rPr>
          <w:rFonts w:hint="eastAsia" w:ascii="仿宋" w:hAnsi="仿宋" w:cs="Times New Roman"/>
          <w:color w:val="000000"/>
          <w:szCs w:val="28"/>
          <w:lang w:val="en-US" w:eastAsia="zh-CN"/>
        </w:rPr>
        <w:t>编码原则、要素分类</w:t>
      </w:r>
      <w:r>
        <w:rPr>
          <w:rFonts w:hint="eastAsia" w:cs="Times New Roman"/>
          <w:color w:val="000000"/>
          <w:szCs w:val="28"/>
          <w:lang w:val="en-US" w:eastAsia="zh-CN"/>
        </w:rPr>
        <w:t>方法</w:t>
      </w:r>
      <w:r>
        <w:rPr>
          <w:rFonts w:hint="eastAsia" w:ascii="仿宋" w:hAnsi="仿宋" w:cs="Times New Roman"/>
          <w:color w:val="000000"/>
          <w:szCs w:val="28"/>
          <w:lang w:val="en-US" w:eastAsia="zh-CN"/>
        </w:rPr>
        <w:t>、要素编码</w:t>
      </w:r>
      <w:r>
        <w:rPr>
          <w:rFonts w:hint="eastAsia" w:cs="Times New Roman"/>
          <w:color w:val="000000"/>
          <w:szCs w:val="28"/>
          <w:lang w:val="en-US" w:eastAsia="zh-CN"/>
        </w:rPr>
        <w:t>方法</w:t>
      </w:r>
      <w:r>
        <w:rPr>
          <w:rFonts w:hint="eastAsia" w:ascii="仿宋" w:hAnsi="仿宋" w:cs="Times New Roman"/>
          <w:color w:val="000000"/>
          <w:szCs w:val="28"/>
          <w:lang w:val="en-US" w:eastAsia="zh-CN"/>
        </w:rPr>
        <w:t>、分类</w:t>
      </w:r>
      <w:r>
        <w:rPr>
          <w:rFonts w:hint="eastAsia" w:cs="Times New Roman"/>
          <w:color w:val="000000"/>
          <w:szCs w:val="28"/>
          <w:lang w:val="en-US" w:eastAsia="zh-CN"/>
        </w:rPr>
        <w:t>和</w:t>
      </w:r>
      <w:r>
        <w:rPr>
          <w:rFonts w:hint="eastAsia" w:ascii="仿宋" w:hAnsi="仿宋" w:cs="Times New Roman"/>
          <w:color w:val="000000"/>
          <w:szCs w:val="28"/>
          <w:lang w:val="en-US" w:eastAsia="zh-CN"/>
        </w:rPr>
        <w:t>编码扩充原则</w:t>
      </w:r>
      <w:r>
        <w:rPr>
          <w:rFonts w:hint="eastAsia" w:cs="Times New Roman"/>
          <w:color w:val="000000"/>
          <w:szCs w:val="28"/>
          <w:lang w:val="en-US" w:eastAsia="zh-CN"/>
        </w:rPr>
        <w:t>等7个章节，</w:t>
      </w:r>
      <w:r>
        <w:rPr>
          <w:rFonts w:hint="eastAsia" w:ascii="仿宋" w:hAnsi="仿宋" w:cs="Times New Roman"/>
          <w:color w:val="000000"/>
          <w:szCs w:val="28"/>
          <w:lang w:val="en-US" w:eastAsia="zh-CN"/>
        </w:rPr>
        <w:t>以及2个规范性附录（附录A 智能汽车基础地图大类及中类的分类和编码、附录B智能汽车基础地图要素分类和编码表）。</w:t>
      </w:r>
    </w:p>
    <w:p>
      <w:pPr>
        <w:pStyle w:val="49"/>
        <w:keepNext w:val="0"/>
        <w:keepLines w:val="0"/>
        <w:pageBreakBefore w:val="0"/>
        <w:widowControl w:val="0"/>
        <w:numPr>
          <w:ilvl w:val="0"/>
          <w:numId w:val="0"/>
        </w:numPr>
        <w:kinsoku/>
        <w:wordWrap/>
        <w:overflowPunct/>
        <w:topLinePunct w:val="0"/>
        <w:autoSpaceDE/>
        <w:autoSpaceDN/>
        <w:bidi w:val="0"/>
        <w:adjustRightInd w:val="0"/>
        <w:snapToGrid w:val="0"/>
        <w:ind w:firstLine="602" w:firstLineChars="200"/>
        <w:textAlignment w:val="auto"/>
        <w:outlineLvl w:val="3"/>
        <w:rPr>
          <w:rFonts w:hint="default" w:cs="Times New Roman"/>
          <w:b/>
          <w:kern w:val="2"/>
          <w:sz w:val="30"/>
          <w:szCs w:val="30"/>
          <w:lang w:val="en-US" w:eastAsia="zh-CN" w:bidi="ar-SA"/>
        </w:rPr>
      </w:pPr>
      <w:r>
        <w:rPr>
          <w:rFonts w:hint="eastAsia" w:cs="Times New Roman"/>
          <w:b/>
          <w:kern w:val="2"/>
          <w:sz w:val="30"/>
          <w:szCs w:val="30"/>
          <w:lang w:val="en-US" w:eastAsia="zh-CN" w:bidi="ar-SA"/>
        </w:rPr>
        <w:t>2.2.1.1相关资料搜集</w:t>
      </w:r>
    </w:p>
    <w:p>
      <w:pPr>
        <w:pStyle w:val="47"/>
        <w:adjustRightInd w:val="0"/>
        <w:snapToGrid w:val="0"/>
        <w:rPr>
          <w:rFonts w:hint="eastAsia"/>
          <w:lang w:val="en-US" w:eastAsia="zh-CN"/>
        </w:rPr>
      </w:pPr>
      <w:r>
        <w:rPr>
          <w:rFonts w:hint="eastAsia"/>
          <w:lang w:val="en-US" w:eastAsia="zh-CN"/>
        </w:rPr>
        <w:t>在标准研究与整理过程中，课题组对国内外已有的智能汽车标准、基础地图技术和相关文献进行了全面梳理，同时梳理分析了测绘地理信息相关的分类和编码标准。结合国内智能汽车政策、技术发展现状的研究，确定符合我国国情的智能汽车基础地图要素分类和编码体系，确保标准的科学性、实用性和前瞻性。</w:t>
      </w:r>
    </w:p>
    <w:p>
      <w:pPr>
        <w:pStyle w:val="47"/>
        <w:adjustRightInd w:val="0"/>
        <w:snapToGrid w:val="0"/>
        <w:rPr>
          <w:rFonts w:hint="eastAsia"/>
          <w:lang w:val="en-US" w:eastAsia="zh-CN"/>
        </w:rPr>
      </w:pPr>
      <w:r>
        <w:rPr>
          <w:rFonts w:hint="eastAsia"/>
          <w:lang w:val="en-US" w:eastAsia="zh-CN"/>
        </w:rPr>
        <w:t>（1）收集了与智能汽车基础地图相关国家、行业、地方和团体标准。</w:t>
      </w:r>
    </w:p>
    <w:p>
      <w:pPr>
        <w:pStyle w:val="5"/>
        <w:ind w:firstLine="480"/>
        <w:jc w:val="center"/>
        <w:rPr>
          <w:rFonts w:hint="default"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2</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搜集分析的智能汽车基础地图相关标准</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7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816" w:type="dxa"/>
            <w:vAlign w:val="center"/>
          </w:tcPr>
          <w:p>
            <w:pPr>
              <w:pStyle w:val="7"/>
              <w:keepNext w:val="0"/>
              <w:keepLines w:val="0"/>
              <w:suppressLineNumbers w:val="0"/>
              <w:spacing w:before="0" w:beforeAutospacing="0" w:after="0" w:afterAutospacing="0"/>
              <w:ind w:left="0" w:leftChars="0" w:right="0" w:firstLine="0" w:firstLineChars="0"/>
              <w:jc w:val="center"/>
              <w:rPr>
                <w:rFonts w:hint="eastAsia"/>
                <w:b/>
                <w:bCs/>
                <w:sz w:val="24"/>
                <w:szCs w:val="24"/>
                <w:vertAlign w:val="baseline"/>
                <w:lang w:val="en-US" w:eastAsia="zh-CN"/>
              </w:rPr>
            </w:pPr>
            <w:r>
              <w:rPr>
                <w:rFonts w:hint="eastAsia" w:ascii="仿宋" w:hAnsi="仿宋" w:eastAsia="仿宋"/>
                <w:b/>
                <w:bCs/>
                <w:sz w:val="24"/>
                <w:szCs w:val="24"/>
              </w:rPr>
              <w:t>序号</w:t>
            </w:r>
          </w:p>
        </w:tc>
        <w:tc>
          <w:tcPr>
            <w:tcW w:w="7706" w:type="dxa"/>
            <w:vAlign w:val="center"/>
          </w:tcPr>
          <w:p>
            <w:pPr>
              <w:pStyle w:val="7"/>
              <w:keepNext w:val="0"/>
              <w:keepLines w:val="0"/>
              <w:suppressLineNumbers w:val="0"/>
              <w:spacing w:before="0" w:beforeAutospacing="0" w:after="0" w:afterAutospacing="0"/>
              <w:ind w:left="0" w:leftChars="0" w:right="0" w:firstLine="0" w:firstLineChars="0"/>
              <w:jc w:val="center"/>
              <w:rPr>
                <w:rFonts w:hint="eastAsia"/>
                <w:b/>
                <w:bCs/>
                <w:sz w:val="24"/>
                <w:szCs w:val="24"/>
                <w:vertAlign w:val="baseline"/>
                <w:lang w:val="en-US" w:eastAsia="zh-CN"/>
              </w:rPr>
            </w:pPr>
            <w:r>
              <w:rPr>
                <w:rFonts w:hint="eastAsia" w:ascii="仿宋" w:hAnsi="仿宋" w:eastAsia="仿宋"/>
                <w:b/>
                <w:bCs/>
                <w:sz w:val="24"/>
                <w:szCs w:val="24"/>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top"/>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leftChars="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道路高精导航电子地图数据规范</w:t>
            </w:r>
            <w:r>
              <w:rPr>
                <w:rFonts w:hint="eastAsia" w:cs="Times New Roman"/>
                <w:kern w:val="2"/>
                <w:sz w:val="24"/>
                <w:szCs w:val="24"/>
                <w:vertAlign w:val="baseline"/>
                <w:lang w:val="en-US" w:eastAsia="zh-CN" w:bidi="ar-SA"/>
              </w:rPr>
              <w:t>（CH/T 4027-2023）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top"/>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leftChars="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仿宋" w:hAnsi="仿宋" w:eastAsia="仿宋" w:cs="Times New Roman"/>
                <w:kern w:val="2"/>
                <w:sz w:val="24"/>
                <w:szCs w:val="24"/>
                <w:vertAlign w:val="baseline"/>
                <w:lang w:val="en-US" w:eastAsia="zh-CN" w:bidi="ar-SA"/>
              </w:rPr>
              <w:t>智能</w:t>
            </w:r>
            <w:r>
              <w:rPr>
                <w:rFonts w:hint="eastAsia" w:ascii="仿宋" w:hAnsi="仿宋" w:cs="Times New Roman"/>
                <w:kern w:val="2"/>
                <w:sz w:val="24"/>
                <w:szCs w:val="24"/>
                <w:vertAlign w:val="baseline"/>
                <w:lang w:val="en-US" w:eastAsia="zh-CN" w:bidi="ar-SA"/>
              </w:rPr>
              <w:t>汽车</w:t>
            </w:r>
            <w:r>
              <w:rPr>
                <w:rFonts w:hint="eastAsia" w:ascii="仿宋" w:hAnsi="仿宋" w:eastAsia="仿宋" w:cs="Times New Roman"/>
                <w:kern w:val="2"/>
                <w:sz w:val="24"/>
                <w:szCs w:val="24"/>
                <w:vertAlign w:val="baseline"/>
                <w:lang w:val="en-US" w:eastAsia="zh-CN" w:bidi="ar-SA"/>
              </w:rPr>
              <w:t>高精地图框架模型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自动驾驶地图数据规范</w:t>
            </w:r>
            <w:r>
              <w:rPr>
                <w:rFonts w:hint="eastAsia" w:cs="Times New Roman"/>
                <w:kern w:val="2"/>
                <w:sz w:val="24"/>
                <w:szCs w:val="24"/>
                <w:vertAlign w:val="baseline"/>
                <w:lang w:val="en-US" w:eastAsia="zh-CN" w:bidi="ar-SA"/>
              </w:rPr>
              <w:t>（</w:t>
            </w:r>
            <w:r>
              <w:rPr>
                <w:rFonts w:hint="eastAsia" w:ascii="Times New Roman" w:hAnsi="Times New Roman" w:eastAsia="仿宋" w:cs="Times New Roman"/>
                <w:kern w:val="2"/>
                <w:sz w:val="24"/>
                <w:szCs w:val="24"/>
                <w:vertAlign w:val="baseline"/>
                <w:lang w:val="en-US" w:eastAsia="zh-CN" w:bidi="ar-SA"/>
              </w:rPr>
              <w:t>DB11/T 2041</w:t>
            </w:r>
            <w:r>
              <w:rPr>
                <w:rFonts w:hint="eastAsia" w:cs="Times New Roman"/>
                <w:kern w:val="2"/>
                <w:sz w:val="24"/>
                <w:szCs w:val="24"/>
                <w:vertAlign w:val="baseline"/>
                <w:lang w:val="en-US" w:eastAsia="zh-CN" w:bidi="ar-SA"/>
              </w:rPr>
              <w:t>—</w:t>
            </w:r>
            <w:r>
              <w:rPr>
                <w:rFonts w:hint="eastAsia" w:ascii="Times New Roman" w:hAnsi="Times New Roman" w:eastAsia="仿宋" w:cs="Times New Roman"/>
                <w:kern w:val="2"/>
                <w:sz w:val="24"/>
                <w:szCs w:val="24"/>
                <w:vertAlign w:val="baseline"/>
                <w:lang w:val="en-US" w:eastAsia="zh-CN" w:bidi="ar-SA"/>
              </w:rPr>
              <w:t>2022</w:t>
            </w:r>
            <w:r>
              <w:rPr>
                <w:rFonts w:hint="eastAsia" w:cs="Times New Roman"/>
                <w:kern w:val="2"/>
                <w:sz w:val="24"/>
                <w:szCs w:val="24"/>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车载导航地理数据采集处理技术规程</w:t>
            </w:r>
            <w:r>
              <w:rPr>
                <w:rFonts w:hint="eastAsia" w:cs="Times New Roman"/>
                <w:kern w:val="2"/>
                <w:sz w:val="24"/>
                <w:szCs w:val="24"/>
                <w:vertAlign w:val="baseline"/>
                <w:lang w:val="en-US" w:eastAsia="zh-CN" w:bidi="ar-SA"/>
              </w:rPr>
              <w:t>（GB/T 20268—2006）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车载导航电子地图产品规范</w:t>
            </w:r>
            <w:r>
              <w:rPr>
                <w:rFonts w:hint="eastAsia" w:cs="Times New Roman"/>
                <w:kern w:val="2"/>
                <w:sz w:val="24"/>
                <w:szCs w:val="24"/>
                <w:vertAlign w:val="baseline"/>
                <w:lang w:val="en-US" w:eastAsia="zh-CN" w:bidi="ar-SA"/>
              </w:rPr>
              <w:t>（GB/T 20267—2006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导航电子地图 分区网络模型</w:t>
            </w:r>
            <w:r>
              <w:rPr>
                <w:rFonts w:hint="eastAsia" w:cs="Times New Roman"/>
                <w:kern w:val="2"/>
                <w:sz w:val="24"/>
                <w:szCs w:val="24"/>
                <w:vertAlign w:val="baseline"/>
                <w:lang w:val="en-US" w:eastAsia="zh-CN" w:bidi="ar-SA"/>
              </w:rPr>
              <w:t>（GB/T 40085—2021）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导航电子地图安全处理技术基本要求</w:t>
            </w:r>
            <w:r>
              <w:rPr>
                <w:rFonts w:hint="eastAsia" w:cs="Times New Roman"/>
                <w:kern w:val="2"/>
                <w:sz w:val="24"/>
                <w:szCs w:val="24"/>
                <w:vertAlign w:val="baseline"/>
                <w:lang w:val="en-US" w:eastAsia="zh-CN" w:bidi="ar-SA"/>
              </w:rPr>
              <w:t>（计划号：20241012-Q-466）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导航电子地图公交数据生产技术规范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导航电子地图检测规范</w:t>
            </w:r>
            <w:r>
              <w:rPr>
                <w:rStyle w:val="55"/>
                <w:rFonts w:hint="eastAsia"/>
                <w:sz w:val="24"/>
                <w:szCs w:val="24"/>
                <w:lang w:bidi="ar"/>
              </w:rPr>
              <w:t>（</w:t>
            </w:r>
            <w:r>
              <w:rPr>
                <w:rStyle w:val="55"/>
                <w:sz w:val="24"/>
                <w:szCs w:val="24"/>
                <w:lang w:bidi="ar"/>
              </w:rPr>
              <w:t>CH/T 1019</w:t>
            </w:r>
            <w:r>
              <w:rPr>
                <w:rStyle w:val="55"/>
                <w:rFonts w:hint="eastAsia"/>
                <w:sz w:val="24"/>
                <w:szCs w:val="24"/>
                <w:lang w:bidi="ar"/>
              </w:rPr>
              <w:t>—</w:t>
            </w:r>
            <w:r>
              <w:rPr>
                <w:rStyle w:val="55"/>
                <w:sz w:val="24"/>
                <w:szCs w:val="24"/>
                <w:lang w:bidi="ar"/>
              </w:rPr>
              <w:t>2010</w:t>
            </w:r>
            <w:r>
              <w:rPr>
                <w:rStyle w:val="55"/>
                <w:rFonts w:hint="eastAsia"/>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导航电子地图框架数据交换格式</w:t>
            </w:r>
            <w:r>
              <w:rPr>
                <w:rFonts w:hint="eastAsia" w:cs="Times New Roman"/>
                <w:kern w:val="2"/>
                <w:sz w:val="24"/>
                <w:szCs w:val="24"/>
                <w:vertAlign w:val="baseline"/>
                <w:lang w:val="en-US" w:eastAsia="zh-CN" w:bidi="ar-SA"/>
              </w:rPr>
              <w:t>（GB/T 35645-2017）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导航电子地图增量更新基本要求</w:t>
            </w:r>
            <w:r>
              <w:rPr>
                <w:rFonts w:hint="eastAsia" w:cs="Times New Roman"/>
                <w:kern w:val="2"/>
                <w:sz w:val="24"/>
                <w:szCs w:val="24"/>
                <w:vertAlign w:val="baseline"/>
                <w:lang w:val="en-US" w:eastAsia="zh-CN" w:bidi="ar-SA"/>
              </w:rPr>
              <w:t>（GB/T 35646-2017）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道路高精导航电子地图快速更新技术规范</w:t>
            </w:r>
            <w:r>
              <w:rPr>
                <w:rFonts w:hint="eastAsia" w:cs="Times New Roman"/>
                <w:kern w:val="2"/>
                <w:sz w:val="24"/>
                <w:szCs w:val="24"/>
                <w:vertAlign w:val="baseline"/>
                <w:lang w:val="en-US" w:eastAsia="zh-CN" w:bidi="ar-SA"/>
              </w:rPr>
              <w:t>（计划号：202332018）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道路高精导航电子地图生产技术规范</w:t>
            </w:r>
            <w:r>
              <w:rPr>
                <w:rFonts w:hint="eastAsia" w:cs="Times New Roman"/>
                <w:kern w:val="2"/>
                <w:sz w:val="24"/>
                <w:szCs w:val="24"/>
                <w:vertAlign w:val="baseline"/>
                <w:lang w:val="en-US" w:eastAsia="zh-CN" w:bidi="ar-SA"/>
              </w:rPr>
              <w:t>（CH/T 4026-2023）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道路高精导航电子地图质量规范</w:t>
            </w:r>
            <w:r>
              <w:rPr>
                <w:rFonts w:hint="eastAsia" w:cs="Times New Roman"/>
                <w:kern w:val="2"/>
                <w:sz w:val="24"/>
                <w:szCs w:val="24"/>
                <w:vertAlign w:val="baseline"/>
                <w:lang w:val="en-US" w:eastAsia="zh-CN" w:bidi="ar-SA"/>
              </w:rPr>
              <w:t>（计划号：202232001）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地图导航定位产品通用规范</w:t>
            </w:r>
            <w:r>
              <w:rPr>
                <w:rFonts w:hint="eastAsia" w:cs="Times New Roman"/>
                <w:kern w:val="2"/>
                <w:sz w:val="24"/>
                <w:szCs w:val="24"/>
                <w:vertAlign w:val="baseline"/>
                <w:lang w:val="en-US" w:eastAsia="zh-CN" w:bidi="ar-SA"/>
              </w:rPr>
              <w:t>（ GB/T 35766-2017）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电子公路图路线及沿线设施要素高精度表达规范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高级辅助驾驶地图技术审查送审数据规格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高级辅助驾驶地图审查要求</w:t>
            </w:r>
            <w:r>
              <w:rPr>
                <w:rFonts w:hint="eastAsia" w:cs="Times New Roman"/>
                <w:kern w:val="2"/>
                <w:sz w:val="24"/>
                <w:szCs w:val="24"/>
                <w:vertAlign w:val="baseline"/>
                <w:lang w:val="en-US" w:eastAsia="zh-CN" w:bidi="ar-SA"/>
              </w:rPr>
              <w:t>（GB/T 44489-2024）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交通系统高精度地图服务技术规范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室内导航电子地图产品规范</w:t>
            </w:r>
            <w:r>
              <w:rPr>
                <w:rFonts w:hint="eastAsia" w:cs="Times New Roman"/>
                <w:kern w:val="2"/>
                <w:sz w:val="24"/>
                <w:szCs w:val="24"/>
                <w:vertAlign w:val="baseline"/>
                <w:lang w:val="en-US" w:eastAsia="zh-CN" w:bidi="ar-SA"/>
              </w:rPr>
              <w:t>（计划号：202132018）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室内导航电子地图生产技术规范</w:t>
            </w:r>
            <w:r>
              <w:rPr>
                <w:rFonts w:hint="eastAsia" w:cs="Times New Roman"/>
                <w:kern w:val="2"/>
                <w:sz w:val="24"/>
                <w:szCs w:val="24"/>
                <w:vertAlign w:val="baseline"/>
                <w:lang w:val="en-US" w:eastAsia="zh-CN" w:bidi="ar-SA"/>
              </w:rPr>
              <w:t>（计划号：202132017）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室内导航电子地图质量检验技术规程</w:t>
            </w:r>
            <w:r>
              <w:rPr>
                <w:rFonts w:hint="eastAsia" w:cs="Times New Roman"/>
                <w:kern w:val="2"/>
                <w:sz w:val="24"/>
                <w:szCs w:val="24"/>
                <w:vertAlign w:val="baseline"/>
                <w:lang w:val="en-US" w:eastAsia="zh-CN" w:bidi="ar-SA"/>
              </w:rPr>
              <w:t>（计划号：202432011）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停车场高精导航地图数据模型与表达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智能汽车观测定位导航坐标系应用技术规范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智能汽车基础地图 众源更新基本要求</w:t>
            </w:r>
            <w:r>
              <w:rPr>
                <w:rFonts w:hint="eastAsia" w:cs="Times New Roman"/>
                <w:kern w:val="2"/>
                <w:sz w:val="24"/>
                <w:szCs w:val="24"/>
                <w:vertAlign w:val="baseline"/>
                <w:lang w:val="en-US" w:eastAsia="zh-CN" w:bidi="ar-SA"/>
              </w:rPr>
              <w:t>（T/CSGPC 031—2024）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智能汽车基础地图标记语言规范</w:t>
            </w:r>
            <w:r>
              <w:rPr>
                <w:rFonts w:hint="eastAsia" w:cs="Times New Roman"/>
                <w:kern w:val="2"/>
                <w:sz w:val="24"/>
                <w:szCs w:val="24"/>
                <w:vertAlign w:val="baseline"/>
                <w:lang w:val="en-US" w:eastAsia="zh-CN" w:bidi="ar-SA"/>
              </w:rPr>
              <w:t>（计划号：20243585-T-466）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智能汽车基础地图数据传输安全保护技术规范</w:t>
            </w:r>
            <w:r>
              <w:rPr>
                <w:rFonts w:hint="eastAsia" w:cs="Times New Roman"/>
                <w:kern w:val="2"/>
                <w:sz w:val="24"/>
                <w:szCs w:val="24"/>
                <w:vertAlign w:val="baseline"/>
                <w:lang w:val="en-US" w:eastAsia="zh-CN" w:bidi="ar-SA"/>
              </w:rPr>
              <w:t>（计划号：202332016）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智能汽车基础地图数据分类分级规则</w:t>
            </w:r>
            <w:r>
              <w:rPr>
                <w:rFonts w:hint="eastAsia" w:cs="Times New Roman"/>
                <w:kern w:val="2"/>
                <w:sz w:val="24"/>
                <w:szCs w:val="24"/>
                <w:vertAlign w:val="baseline"/>
                <w:lang w:val="en-US" w:eastAsia="zh-CN" w:bidi="ar-SA"/>
              </w:rPr>
              <w:t>（计划号：202432003）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智能网联汽车 自动驾驶地图采集要素模型与交换格式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智能网联汽车 自动驾驶地图动态信息数据交换格式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智能网联汽车 自动驾驶地图路侧传感器数据交换格式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智能网联汽车地理信息数据专有云安全管理技术要求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智能网联汽车时空数据传感系统安全检测基本要求</w:t>
            </w:r>
            <w:r>
              <w:rPr>
                <w:rFonts w:hint="eastAsia" w:cs="Times New Roman"/>
                <w:kern w:val="2"/>
                <w:sz w:val="24"/>
                <w:szCs w:val="24"/>
                <w:vertAlign w:val="baseline"/>
                <w:lang w:val="en-US" w:eastAsia="zh-CN" w:bidi="ar-SA"/>
              </w:rPr>
              <w:t>（计划号：20230947-Q-334）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智能运输系统 智能驾驶电子道路图数据模型与表达 第1部分：封闭道路</w:t>
            </w:r>
            <w:r>
              <w:rPr>
                <w:rFonts w:hint="eastAsia" w:cs="Times New Roman"/>
                <w:kern w:val="2"/>
                <w:sz w:val="24"/>
                <w:szCs w:val="24"/>
                <w:vertAlign w:val="baseline"/>
                <w:lang w:val="en-US" w:eastAsia="zh-CN" w:bidi="ar-SA"/>
              </w:rPr>
              <w:t>（GB/T 42517.1-2023）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智能运输系统 智能驾驶电子道路图数据模型与表达 第2部分：开放道路</w:t>
            </w:r>
            <w:r>
              <w:rPr>
                <w:rFonts w:hint="eastAsia" w:cs="Times New Roman"/>
                <w:kern w:val="2"/>
                <w:sz w:val="24"/>
                <w:szCs w:val="24"/>
                <w:vertAlign w:val="baseline"/>
                <w:lang w:val="en-US" w:eastAsia="zh-CN" w:bidi="ar-SA"/>
              </w:rPr>
              <w:t>（GB/T 42517.2-2023）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自动驾驶地图特征定位数据技术规范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自动驾驶高精地图产品规格</w:t>
            </w:r>
            <w:r>
              <w:rPr>
                <w:rFonts w:hint="eastAsia" w:cs="Times New Roman"/>
                <w:kern w:val="2"/>
                <w:sz w:val="24"/>
                <w:szCs w:val="24"/>
                <w:vertAlign w:val="baseline"/>
                <w:lang w:val="en-US" w:eastAsia="zh-CN" w:bidi="ar-SA"/>
              </w:rPr>
              <w:t>（T/CSGPC 018—2024）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自动驾驶高精地图动态数据交互模式及内容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3"/>
              </w:numPr>
              <w:suppressLineNumbers w:val="0"/>
              <w:tabs>
                <w:tab w:val="clear" w:pos="0"/>
              </w:tabs>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center"/>
              <w:rPr>
                <w:rFonts w:hint="eastAsia" w:ascii="仿宋" w:hAnsi="仿宋"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自动驾驶高精地图数据交互接口</w:t>
            </w:r>
          </w:p>
        </w:tc>
      </w:tr>
    </w:tbl>
    <w:p>
      <w:pPr>
        <w:pStyle w:val="47"/>
        <w:adjustRightInd w:val="0"/>
        <w:snapToGrid w:val="0"/>
        <w:rPr>
          <w:rFonts w:hint="eastAsia"/>
          <w:lang w:val="en-US" w:eastAsia="zh-CN"/>
        </w:rPr>
      </w:pPr>
      <w:r>
        <w:rPr>
          <w:rFonts w:hint="eastAsia"/>
          <w:lang w:val="en-US" w:eastAsia="zh-CN"/>
        </w:rPr>
        <w:t>（2）收集了与地理信息相关的分类和编码标准。在分类和编码思路上，参考了与本标准内容相关的分类和编码标准的方法和思路。</w:t>
      </w:r>
    </w:p>
    <w:p>
      <w:pPr>
        <w:pStyle w:val="5"/>
        <w:ind w:firstLine="480"/>
        <w:jc w:val="center"/>
        <w:rPr>
          <w:rFonts w:hint="default" w:ascii="Times New Roman" w:hAnsi="Times New Roman"/>
          <w:sz w:val="21"/>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3</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w:t>
      </w:r>
      <w:r>
        <w:rPr>
          <w:rFonts w:hint="eastAsia" w:ascii="Times New Roman" w:hAnsi="Times New Roman" w:cs="Times New Roman"/>
          <w:kern w:val="0"/>
          <w:sz w:val="28"/>
          <w:szCs w:val="24"/>
          <w:lang w:val="en-US" w:eastAsia="zh-CN"/>
        </w:rPr>
        <w:t>搜集分析的分类和编码方面标准</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7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6" w:type="dxa"/>
            <w:vAlign w:val="center"/>
          </w:tcPr>
          <w:p>
            <w:pPr>
              <w:pStyle w:val="7"/>
              <w:keepNext w:val="0"/>
              <w:keepLines w:val="0"/>
              <w:suppressLineNumbers w:val="0"/>
              <w:spacing w:before="0" w:beforeAutospacing="0" w:after="0" w:afterAutospacing="0"/>
              <w:ind w:left="0" w:leftChars="0" w:right="0" w:firstLine="0" w:firstLineChars="0"/>
              <w:jc w:val="center"/>
              <w:rPr>
                <w:rFonts w:hint="eastAsia"/>
                <w:b/>
                <w:bCs/>
                <w:sz w:val="24"/>
                <w:szCs w:val="24"/>
                <w:vertAlign w:val="baseline"/>
                <w:lang w:val="en-US" w:eastAsia="zh-CN"/>
              </w:rPr>
            </w:pPr>
            <w:r>
              <w:rPr>
                <w:rFonts w:hint="eastAsia" w:ascii="仿宋" w:hAnsi="仿宋" w:eastAsia="仿宋"/>
                <w:b/>
                <w:bCs/>
                <w:sz w:val="24"/>
                <w:szCs w:val="24"/>
              </w:rPr>
              <w:t>序号</w:t>
            </w:r>
          </w:p>
        </w:tc>
        <w:tc>
          <w:tcPr>
            <w:tcW w:w="7706" w:type="dxa"/>
            <w:vAlign w:val="center"/>
          </w:tcPr>
          <w:p>
            <w:pPr>
              <w:pStyle w:val="7"/>
              <w:keepNext w:val="0"/>
              <w:keepLines w:val="0"/>
              <w:suppressLineNumbers w:val="0"/>
              <w:spacing w:before="0" w:beforeAutospacing="0" w:after="0" w:afterAutospacing="0"/>
              <w:ind w:left="0" w:leftChars="0" w:right="0" w:firstLine="0" w:firstLineChars="0"/>
              <w:jc w:val="center"/>
              <w:rPr>
                <w:rFonts w:hint="eastAsia"/>
                <w:b/>
                <w:bCs/>
                <w:sz w:val="24"/>
                <w:szCs w:val="24"/>
                <w:vertAlign w:val="baseline"/>
                <w:lang w:val="en-US" w:eastAsia="zh-CN"/>
              </w:rPr>
            </w:pPr>
            <w:r>
              <w:rPr>
                <w:rFonts w:hint="eastAsia" w:ascii="仿宋" w:hAnsi="仿宋" w:eastAsia="仿宋"/>
                <w:b/>
                <w:bCs/>
                <w:sz w:val="24"/>
                <w:szCs w:val="24"/>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sz w:val="24"/>
                <w:szCs w:val="24"/>
                <w:vertAlign w:val="baseline"/>
                <w:lang w:val="en-US" w:eastAsia="zh-CN"/>
              </w:rPr>
            </w:pPr>
            <w:r>
              <w:rPr>
                <w:rFonts w:hint="eastAsia"/>
                <w:sz w:val="24"/>
                <w:szCs w:val="24"/>
                <w:lang w:val="en-US"/>
              </w:rPr>
              <w:t>信息分类和编码的基本原则与方法</w:t>
            </w:r>
            <w:r>
              <w:rPr>
                <w:rFonts w:hint="eastAsia"/>
                <w:sz w:val="24"/>
                <w:szCs w:val="24"/>
                <w:lang w:val="en-US" w:eastAsia="zh-CN"/>
              </w:rPr>
              <w:t>（</w:t>
            </w:r>
            <w:r>
              <w:rPr>
                <w:rFonts w:hint="eastAsia"/>
                <w:sz w:val="24"/>
                <w:szCs w:val="24"/>
                <w:lang w:val="en-US"/>
              </w:rPr>
              <w:t>GB/T 7027</w:t>
            </w:r>
            <w:r>
              <w:rPr>
                <w:rFonts w:hint="eastAsia"/>
                <w:sz w:val="24"/>
                <w:szCs w:val="24"/>
              </w:rPr>
              <w:t>—</w:t>
            </w:r>
            <w:r>
              <w:rPr>
                <w:rFonts w:hint="eastAsia"/>
                <w:sz w:val="24"/>
                <w:szCs w:val="24"/>
                <w:lang w:val="en-US"/>
              </w:rPr>
              <w:t>2002</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信息技术 开放系统互连 对象标识符（OID）的国家编号体系和操作规程</w:t>
            </w:r>
            <w:r>
              <w:rPr>
                <w:rFonts w:hint="eastAsia"/>
                <w:sz w:val="24"/>
                <w:szCs w:val="24"/>
                <w:lang w:val="en-US" w:eastAsia="zh-CN"/>
              </w:rPr>
              <w:t>（</w:t>
            </w:r>
            <w:r>
              <w:rPr>
                <w:rFonts w:hint="eastAsia"/>
                <w:sz w:val="24"/>
                <w:szCs w:val="24"/>
                <w:lang w:val="en-US"/>
              </w:rPr>
              <w:t xml:space="preserve">GB/T 26231 </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基础地理信息要素分类与代码</w:t>
            </w:r>
            <w:r>
              <w:rPr>
                <w:rFonts w:hint="eastAsia"/>
                <w:sz w:val="24"/>
                <w:szCs w:val="24"/>
                <w:lang w:val="en-US" w:eastAsia="zh-CN"/>
              </w:rPr>
              <w:t>（</w:t>
            </w:r>
            <w:r>
              <w:rPr>
                <w:rFonts w:hint="eastAsia"/>
                <w:sz w:val="24"/>
                <w:szCs w:val="24"/>
                <w:lang w:val="en-US"/>
              </w:rPr>
              <w:t>GB/T 13923</w:t>
            </w:r>
            <w:r>
              <w:rPr>
                <w:rFonts w:hint="eastAsia"/>
                <w:sz w:val="24"/>
                <w:szCs w:val="24"/>
              </w:rPr>
              <w:t>—</w:t>
            </w:r>
            <w:r>
              <w:rPr>
                <w:rFonts w:hint="eastAsia"/>
                <w:sz w:val="24"/>
                <w:szCs w:val="24"/>
                <w:lang w:val="en-US"/>
              </w:rPr>
              <w:t>2006</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地理信息兴趣点分类与编码</w:t>
            </w:r>
            <w:r>
              <w:rPr>
                <w:rFonts w:hint="eastAsia"/>
                <w:sz w:val="24"/>
                <w:szCs w:val="24"/>
                <w:lang w:val="en-US" w:eastAsia="zh-CN"/>
              </w:rPr>
              <w:t>（</w:t>
            </w:r>
            <w:r>
              <w:rPr>
                <w:rFonts w:hint="eastAsia"/>
                <w:sz w:val="24"/>
                <w:szCs w:val="24"/>
                <w:lang w:val="en-US"/>
              </w:rPr>
              <w:t>GB/T 35648</w:t>
            </w:r>
            <w:r>
              <w:rPr>
                <w:rFonts w:hint="eastAsia"/>
                <w:sz w:val="24"/>
                <w:szCs w:val="24"/>
              </w:rPr>
              <w:t>—</w:t>
            </w:r>
            <w:r>
              <w:rPr>
                <w:rFonts w:hint="eastAsia"/>
                <w:sz w:val="24"/>
                <w:szCs w:val="24"/>
                <w:lang w:val="en-US"/>
              </w:rPr>
              <w:t>2017</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导航电子地图数据分类与编码</w:t>
            </w:r>
            <w:r>
              <w:rPr>
                <w:rFonts w:hint="eastAsia"/>
                <w:sz w:val="24"/>
                <w:szCs w:val="24"/>
                <w:lang w:val="en-US" w:eastAsia="zh-CN"/>
              </w:rPr>
              <w:t>（</w:t>
            </w:r>
            <w:r>
              <w:rPr>
                <w:rFonts w:hint="eastAsia"/>
                <w:sz w:val="24"/>
                <w:szCs w:val="24"/>
                <w:lang w:val="en-US"/>
              </w:rPr>
              <w:t>GB/T 28442</w:t>
            </w:r>
            <w:r>
              <w:rPr>
                <w:rFonts w:hint="eastAsia"/>
                <w:sz w:val="24"/>
                <w:szCs w:val="24"/>
              </w:rPr>
              <w:t>—</w:t>
            </w:r>
            <w:r>
              <w:rPr>
                <w:rFonts w:hint="eastAsia"/>
                <w:sz w:val="24"/>
                <w:szCs w:val="24"/>
                <w:lang w:val="en-US"/>
              </w:rPr>
              <w:t>2012</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地理信息分类与编码规则</w:t>
            </w:r>
            <w:r>
              <w:rPr>
                <w:rFonts w:hint="eastAsia"/>
                <w:sz w:val="24"/>
                <w:szCs w:val="24"/>
                <w:lang w:val="en-US" w:eastAsia="zh-CN"/>
              </w:rPr>
              <w:t>（</w:t>
            </w:r>
            <w:r>
              <w:rPr>
                <w:rFonts w:hint="eastAsia"/>
                <w:sz w:val="24"/>
                <w:szCs w:val="24"/>
                <w:lang w:val="en-US"/>
              </w:rPr>
              <w:t>GB/T 25529</w:t>
            </w:r>
            <w:r>
              <w:rPr>
                <w:rFonts w:hint="eastAsia"/>
                <w:sz w:val="24"/>
                <w:szCs w:val="24"/>
              </w:rPr>
              <w:t>—</w:t>
            </w:r>
            <w:r>
              <w:rPr>
                <w:rFonts w:hint="eastAsia"/>
                <w:sz w:val="24"/>
                <w:szCs w:val="24"/>
                <w:lang w:val="en-US"/>
              </w:rPr>
              <w:t>2010</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地名地址地理编码规则</w:t>
            </w:r>
            <w:r>
              <w:rPr>
                <w:rFonts w:hint="eastAsia"/>
                <w:sz w:val="24"/>
                <w:szCs w:val="24"/>
                <w:lang w:val="en-US" w:eastAsia="zh-CN"/>
              </w:rPr>
              <w:t>（</w:t>
            </w:r>
            <w:r>
              <w:rPr>
                <w:rFonts w:hint="eastAsia"/>
                <w:sz w:val="24"/>
                <w:szCs w:val="24"/>
                <w:lang w:val="en-US"/>
              </w:rPr>
              <w:t>GB/T 39609</w:t>
            </w:r>
            <w:r>
              <w:rPr>
                <w:rFonts w:hint="eastAsia"/>
                <w:sz w:val="24"/>
                <w:szCs w:val="24"/>
              </w:rPr>
              <w:t>—</w:t>
            </w:r>
            <w:r>
              <w:rPr>
                <w:rFonts w:hint="eastAsia"/>
                <w:sz w:val="24"/>
                <w:szCs w:val="24"/>
                <w:lang w:val="en-US"/>
              </w:rPr>
              <w:t>2020</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智慧城市 数据融合 第2部分：数据编码规范</w:t>
            </w:r>
            <w:r>
              <w:rPr>
                <w:rFonts w:hint="eastAsia"/>
                <w:sz w:val="24"/>
                <w:szCs w:val="24"/>
                <w:lang w:val="en-US" w:eastAsia="zh-CN"/>
              </w:rPr>
              <w:t>（</w:t>
            </w:r>
            <w:r>
              <w:rPr>
                <w:rFonts w:hint="eastAsia"/>
                <w:sz w:val="24"/>
                <w:szCs w:val="24"/>
                <w:lang w:val="en-US"/>
              </w:rPr>
              <w:t>GB/T 36625.2</w:t>
            </w:r>
            <w:r>
              <w:rPr>
                <w:rFonts w:hint="eastAsia"/>
                <w:sz w:val="24"/>
                <w:szCs w:val="24"/>
              </w:rPr>
              <w:t>—</w:t>
            </w:r>
            <w:r>
              <w:rPr>
                <w:rFonts w:hint="eastAsia"/>
                <w:sz w:val="24"/>
                <w:szCs w:val="24"/>
                <w:lang w:val="en-US"/>
              </w:rPr>
              <w:t>2018</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城市地理要素 城市道路、道路交叉口、街坊、市政工程管线编码结构规则</w:t>
            </w:r>
            <w:r>
              <w:rPr>
                <w:rFonts w:hint="eastAsia"/>
                <w:sz w:val="24"/>
                <w:szCs w:val="24"/>
                <w:lang w:val="en-US" w:eastAsia="zh-CN"/>
              </w:rPr>
              <w:t>（</w:t>
            </w:r>
            <w:r>
              <w:rPr>
                <w:rFonts w:hint="eastAsia"/>
                <w:sz w:val="24"/>
                <w:szCs w:val="24"/>
                <w:lang w:val="en-US"/>
              </w:rPr>
              <w:t>GB/T 14395</w:t>
            </w:r>
            <w:r>
              <w:rPr>
                <w:rFonts w:hint="eastAsia"/>
                <w:sz w:val="24"/>
                <w:szCs w:val="24"/>
              </w:rPr>
              <w:t>—</w:t>
            </w:r>
            <w:r>
              <w:rPr>
                <w:rFonts w:hint="eastAsia"/>
                <w:sz w:val="24"/>
                <w:szCs w:val="24"/>
                <w:lang w:val="en-US"/>
              </w:rPr>
              <w:t>1993</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eastAsia="仿宋"/>
                <w:sz w:val="24"/>
                <w:szCs w:val="24"/>
                <w:vertAlign w:val="baseline"/>
                <w:lang w:val="en-US" w:eastAsia="zh-CN"/>
              </w:rPr>
            </w:pPr>
            <w:r>
              <w:rPr>
                <w:rFonts w:hint="eastAsia"/>
                <w:sz w:val="24"/>
                <w:szCs w:val="24"/>
                <w:lang w:val="en-US"/>
              </w:rPr>
              <w:t>交通管理信息属性分类与编码 城市道路</w:t>
            </w:r>
            <w:r>
              <w:rPr>
                <w:rFonts w:hint="eastAsia"/>
                <w:sz w:val="24"/>
                <w:szCs w:val="24"/>
                <w:lang w:val="en-US" w:eastAsia="zh-CN"/>
              </w:rPr>
              <w:t>（</w:t>
            </w:r>
            <w:r>
              <w:rPr>
                <w:rFonts w:hint="eastAsia"/>
                <w:sz w:val="24"/>
                <w:szCs w:val="24"/>
                <w:lang w:val="en-US"/>
              </w:rPr>
              <w:t>GB/T 21379</w:t>
            </w:r>
            <w:r>
              <w:rPr>
                <w:rFonts w:hint="eastAsia"/>
                <w:sz w:val="24"/>
                <w:szCs w:val="24"/>
              </w:rPr>
              <w:t>—</w:t>
            </w:r>
            <w:r>
              <w:rPr>
                <w:rFonts w:hint="eastAsia"/>
                <w:sz w:val="24"/>
                <w:szCs w:val="24"/>
                <w:lang w:val="en-US"/>
              </w:rPr>
              <w:t>2008</w:t>
            </w:r>
            <w:r>
              <w:rPr>
                <w:rFonts w:hint="eastAsia"/>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sz w:val="24"/>
                <w:szCs w:val="24"/>
                <w:vertAlign w:val="baseline"/>
                <w:lang w:val="en-US" w:eastAsia="zh-CN"/>
              </w:rPr>
            </w:pPr>
            <w:r>
              <w:rPr>
                <w:rFonts w:hint="eastAsia"/>
                <w:sz w:val="24"/>
                <w:szCs w:val="24"/>
                <w:lang w:val="en-US" w:eastAsia="zh-CN"/>
              </w:rPr>
              <w:t>道路交通标志编码（GB/T 30699</w:t>
            </w:r>
            <w:r>
              <w:rPr>
                <w:rFonts w:hint="eastAsia"/>
                <w:sz w:val="24"/>
                <w:szCs w:val="24"/>
              </w:rPr>
              <w:t>—</w:t>
            </w:r>
            <w:r>
              <w:rPr>
                <w:rFonts w:hint="eastAsia"/>
                <w:sz w:val="24"/>
                <w:szCs w:val="24"/>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pStyle w:val="7"/>
              <w:keepNext w:val="0"/>
              <w:keepLines w:val="0"/>
              <w:widowControl/>
              <w:numPr>
                <w:ilvl w:val="0"/>
                <w:numId w:val="4"/>
              </w:numPr>
              <w:suppressLineNumbers w:val="0"/>
              <w:adjustRightInd w:val="0"/>
              <w:snapToGrid w:val="0"/>
              <w:spacing w:before="0" w:beforeAutospacing="0" w:after="120" w:afterAutospacing="0" w:line="240" w:lineRule="auto"/>
              <w:ind w:left="420" w:right="0" w:hanging="420" w:firstLineChars="0"/>
              <w:jc w:val="center"/>
              <w:rPr>
                <w:rFonts w:hint="eastAsia" w:ascii="仿宋" w:hAnsi="仿宋" w:eastAsia="仿宋" w:cs="Times New Roman"/>
                <w:sz w:val="24"/>
                <w:szCs w:val="24"/>
                <w:lang w:val="en-US" w:eastAsia="zh-CN"/>
              </w:rPr>
            </w:pPr>
          </w:p>
        </w:tc>
        <w:tc>
          <w:tcPr>
            <w:tcW w:w="770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textAlignment w:val="auto"/>
              <w:rPr>
                <w:rFonts w:hint="eastAsia"/>
                <w:sz w:val="24"/>
                <w:szCs w:val="24"/>
                <w:vertAlign w:val="baseline"/>
                <w:lang w:val="en-US" w:eastAsia="zh-CN"/>
              </w:rPr>
            </w:pPr>
            <w:r>
              <w:rPr>
                <w:rFonts w:hint="eastAsia"/>
                <w:sz w:val="24"/>
                <w:szCs w:val="24"/>
                <w:lang w:val="en-US" w:eastAsia="zh-CN"/>
              </w:rPr>
              <w:t>道路交通信息采集 信息分类与编码（GB/T 20133</w:t>
            </w:r>
            <w:r>
              <w:rPr>
                <w:rFonts w:hint="eastAsia"/>
                <w:sz w:val="24"/>
                <w:szCs w:val="24"/>
              </w:rPr>
              <w:t>—</w:t>
            </w:r>
            <w:r>
              <w:rPr>
                <w:rFonts w:hint="eastAsia"/>
                <w:sz w:val="24"/>
                <w:szCs w:val="24"/>
                <w:lang w:val="en-US" w:eastAsia="zh-CN"/>
              </w:rPr>
              <w:t>2006）</w:t>
            </w:r>
          </w:p>
        </w:tc>
      </w:tr>
    </w:tbl>
    <w:p>
      <w:pPr>
        <w:pStyle w:val="47"/>
        <w:adjustRightInd w:val="0"/>
        <w:snapToGrid w:val="0"/>
        <w:rPr>
          <w:rFonts w:hint="eastAsia"/>
          <w:lang w:val="en-US" w:eastAsia="zh-CN"/>
        </w:rPr>
      </w:pPr>
      <w:r>
        <w:rPr>
          <w:rFonts w:hint="eastAsia"/>
          <w:lang w:val="en-US" w:eastAsia="zh-CN"/>
        </w:rPr>
        <w:t>（3）其他方面标准</w:t>
      </w:r>
    </w:p>
    <w:p>
      <w:pPr>
        <w:bidi w:val="0"/>
        <w:rPr>
          <w:rFonts w:hint="default" w:ascii="Times New Roman" w:hAnsi="Times New Roman"/>
          <w:sz w:val="28"/>
          <w:szCs w:val="21"/>
          <w:lang w:val="en-US" w:eastAsia="zh-CN"/>
        </w:rPr>
      </w:pPr>
      <w:r>
        <w:rPr>
          <w:rFonts w:hint="eastAsia"/>
          <w:sz w:val="28"/>
          <w:szCs w:val="21"/>
          <w:lang w:val="en-US" w:eastAsia="zh-CN"/>
        </w:rPr>
        <w:t>此外，</w:t>
      </w:r>
      <w:r>
        <w:rPr>
          <w:rFonts w:hint="default" w:ascii="Times New Roman" w:hAnsi="Times New Roman"/>
          <w:sz w:val="28"/>
          <w:szCs w:val="21"/>
          <w:lang w:val="en-US" w:eastAsia="zh-CN"/>
        </w:rPr>
        <w:t>公路交通部门的很多标准也是我们必须关注和了解的，如已发布的国家标准《道路交通标志编码》（GB/T 30699-2014）规定了道路交通标志编码的分类、编码原则与结构以及各种类道路交通标志的</w:t>
      </w:r>
      <w:r>
        <w:rPr>
          <w:rFonts w:hint="eastAsia" w:ascii="Times New Roman" w:hAnsi="Times New Roman"/>
          <w:sz w:val="28"/>
          <w:szCs w:val="21"/>
          <w:lang w:val="en-US" w:eastAsia="zh-CN"/>
        </w:rPr>
        <w:t>编码</w:t>
      </w:r>
      <w:r>
        <w:rPr>
          <w:rFonts w:hint="default" w:ascii="Times New Roman" w:hAnsi="Times New Roman"/>
          <w:sz w:val="28"/>
          <w:szCs w:val="21"/>
          <w:lang w:val="en-US" w:eastAsia="zh-CN"/>
        </w:rPr>
        <w:t>等内容。适用于道路交通标志编码信息的采集、处理和交换。其编码思路值得借鉴。还有诸如《道路交通标志和标线》（GB 5768所有部分）、《公路工程技术标准》（JTG B01）、《公路交通安全设施设计规范》（JTG D81</w:t>
      </w:r>
      <w:r>
        <w:rPr>
          <w:rFonts w:hint="eastAsia" w:ascii="Times New Roman" w:hAnsi="Times New Roman"/>
          <w:sz w:val="28"/>
          <w:szCs w:val="21"/>
          <w:lang w:val="en-US" w:eastAsia="zh-CN"/>
        </w:rPr>
        <w:t>）</w:t>
      </w:r>
      <w:r>
        <w:rPr>
          <w:rFonts w:hint="default" w:ascii="Times New Roman" w:hAnsi="Times New Roman"/>
          <w:sz w:val="28"/>
          <w:szCs w:val="21"/>
          <w:lang w:val="en-US" w:eastAsia="zh-CN"/>
        </w:rPr>
        <w:t>、《道路交通信号灯设置与安装规范》（GB</w:t>
      </w:r>
      <w:r>
        <w:rPr>
          <w:rFonts w:hint="eastAsia"/>
          <w:sz w:val="28"/>
          <w:szCs w:val="21"/>
          <w:lang w:val="en-US" w:eastAsia="zh-CN"/>
        </w:rPr>
        <w:t xml:space="preserve"> </w:t>
      </w:r>
      <w:r>
        <w:rPr>
          <w:rFonts w:hint="default" w:ascii="Times New Roman" w:hAnsi="Times New Roman"/>
          <w:sz w:val="28"/>
          <w:szCs w:val="21"/>
          <w:lang w:val="en-US" w:eastAsia="zh-CN"/>
        </w:rPr>
        <w:t>14886）、《道路交通信号控制机》（GB 25280</w:t>
      </w:r>
      <w:r>
        <w:rPr>
          <w:rFonts w:hint="eastAsia" w:ascii="Times New Roman" w:hAnsi="Times New Roman"/>
          <w:sz w:val="28"/>
          <w:szCs w:val="21"/>
          <w:lang w:val="en-US" w:eastAsia="zh-CN"/>
        </w:rPr>
        <w:t>）</w:t>
      </w:r>
      <w:r>
        <w:rPr>
          <w:rFonts w:hint="default" w:ascii="Times New Roman" w:hAnsi="Times New Roman"/>
          <w:sz w:val="28"/>
          <w:szCs w:val="21"/>
          <w:lang w:val="en-US" w:eastAsia="zh-CN"/>
        </w:rPr>
        <w:t>、《匝道控制系统部署要求》（GB/T 34599</w:t>
      </w:r>
      <w:r>
        <w:rPr>
          <w:rFonts w:hint="eastAsia" w:ascii="Times New Roman" w:hAnsi="Times New Roman"/>
          <w:sz w:val="28"/>
          <w:szCs w:val="21"/>
          <w:lang w:val="en-US" w:eastAsia="zh-CN"/>
        </w:rPr>
        <w:t>）</w:t>
      </w:r>
      <w:r>
        <w:rPr>
          <w:rFonts w:hint="default" w:ascii="Times New Roman" w:hAnsi="Times New Roman"/>
          <w:sz w:val="28"/>
          <w:szCs w:val="21"/>
          <w:lang w:val="en-US" w:eastAsia="zh-CN"/>
        </w:rPr>
        <w:t>、《公路交通安全设施设计规范》（JTG D81）、《高速公路交通工程及沿线设施设计通用规范》（JTG D80）、《公路隧道设计规范 第二册 交通工程与附属设施》（JTG D70-2</w:t>
      </w:r>
      <w:r>
        <w:rPr>
          <w:rFonts w:hint="eastAsia" w:ascii="Times New Roman" w:hAnsi="Times New Roman"/>
          <w:sz w:val="28"/>
          <w:szCs w:val="21"/>
          <w:lang w:val="en-US" w:eastAsia="zh-CN"/>
        </w:rPr>
        <w:t>）</w:t>
      </w:r>
      <w:r>
        <w:rPr>
          <w:rFonts w:hint="default" w:ascii="Times New Roman" w:hAnsi="Times New Roman"/>
          <w:sz w:val="28"/>
          <w:szCs w:val="21"/>
          <w:lang w:val="en-US" w:eastAsia="zh-CN"/>
        </w:rPr>
        <w:t>等标准的相关规定也是我们应该去了解和掌握的内容。这些都是智能汽车基础地图要素</w:t>
      </w:r>
      <w:r>
        <w:rPr>
          <w:rFonts w:hint="eastAsia"/>
          <w:sz w:val="28"/>
          <w:szCs w:val="21"/>
          <w:lang w:val="en-US" w:eastAsia="zh-CN"/>
        </w:rPr>
        <w:t>分类和编码</w:t>
      </w:r>
      <w:r>
        <w:rPr>
          <w:rFonts w:hint="default" w:ascii="Times New Roman" w:hAnsi="Times New Roman"/>
          <w:sz w:val="28"/>
          <w:szCs w:val="21"/>
          <w:lang w:val="en-US" w:eastAsia="zh-CN"/>
        </w:rPr>
        <w:t>研究不可或缺的参考依据。</w:t>
      </w:r>
    </w:p>
    <w:p>
      <w:pPr>
        <w:pStyle w:val="49"/>
        <w:keepNext w:val="0"/>
        <w:keepLines w:val="0"/>
        <w:pageBreakBefore w:val="0"/>
        <w:widowControl w:val="0"/>
        <w:numPr>
          <w:ilvl w:val="0"/>
          <w:numId w:val="0"/>
        </w:numPr>
        <w:kinsoku/>
        <w:wordWrap/>
        <w:overflowPunct/>
        <w:topLinePunct w:val="0"/>
        <w:autoSpaceDE/>
        <w:autoSpaceDN/>
        <w:bidi w:val="0"/>
        <w:adjustRightInd w:val="0"/>
        <w:snapToGrid w:val="0"/>
        <w:ind w:firstLine="602" w:firstLineChars="200"/>
        <w:textAlignment w:val="auto"/>
        <w:outlineLvl w:val="3"/>
        <w:rPr>
          <w:rFonts w:hint="default" w:cs="Times New Roman"/>
          <w:b/>
          <w:kern w:val="2"/>
          <w:sz w:val="30"/>
          <w:szCs w:val="30"/>
          <w:lang w:val="en-US" w:eastAsia="zh-CN" w:bidi="ar-SA"/>
        </w:rPr>
      </w:pPr>
      <w:r>
        <w:rPr>
          <w:rFonts w:hint="eastAsia" w:cs="Times New Roman"/>
          <w:b/>
          <w:kern w:val="2"/>
          <w:sz w:val="30"/>
          <w:szCs w:val="30"/>
          <w:lang w:val="en-US" w:eastAsia="zh-CN" w:bidi="ar-SA"/>
        </w:rPr>
        <w:t>2.2.1.2要素总体确定思路</w:t>
      </w:r>
    </w:p>
    <w:p>
      <w:pPr>
        <w:pStyle w:val="47"/>
        <w:adjustRightInd w:val="0"/>
        <w:snapToGrid w:val="0"/>
        <w:rPr>
          <w:rFonts w:hint="default" w:ascii="Times New Roman" w:hAnsi="Times New Roman"/>
          <w:color w:val="auto"/>
          <w:lang w:val="en-US" w:eastAsia="zh-CN"/>
        </w:rPr>
      </w:pPr>
      <w:r>
        <w:rPr>
          <w:rFonts w:hint="default" w:ascii="Times New Roman" w:hAnsi="Times New Roman"/>
          <w:b w:val="0"/>
          <w:bCs w:val="0"/>
          <w:color w:val="auto"/>
          <w:lang w:val="en-US" w:eastAsia="zh-CN"/>
        </w:rPr>
        <w:t>通过对相关标准中地图要素的梳理，</w:t>
      </w:r>
      <w:r>
        <w:rPr>
          <w:rFonts w:hint="eastAsia" w:ascii="Times New Roman" w:hAnsi="Times New Roman"/>
          <w:b w:val="0"/>
          <w:bCs w:val="0"/>
          <w:color w:val="auto"/>
          <w:lang w:val="en-US" w:eastAsia="zh-CN"/>
        </w:rPr>
        <w:t>发</w:t>
      </w:r>
      <w:r>
        <w:rPr>
          <w:rFonts w:hint="eastAsia" w:ascii="Times New Roman" w:hAnsi="Times New Roman"/>
          <w:color w:val="auto"/>
          <w:lang w:val="en-US" w:eastAsia="zh-CN"/>
        </w:rPr>
        <w:t>现：</w:t>
      </w:r>
      <w:r>
        <w:rPr>
          <w:rFonts w:hint="default" w:ascii="Times New Roman" w:hAnsi="Times New Roman"/>
          <w:b w:val="0"/>
          <w:bCs w:val="0"/>
          <w:color w:val="auto"/>
          <w:lang w:val="en-US" w:eastAsia="zh-CN"/>
        </w:rPr>
        <w:t>传统导航电子地图</w:t>
      </w:r>
      <w:r>
        <w:rPr>
          <w:rFonts w:hint="eastAsia" w:ascii="Times New Roman" w:hAnsi="Times New Roman"/>
          <w:b w:val="0"/>
          <w:bCs w:val="0"/>
          <w:color w:val="auto"/>
          <w:lang w:val="en-US" w:eastAsia="zh-CN"/>
        </w:rPr>
        <w:t>类标准，</w:t>
      </w:r>
      <w:r>
        <w:rPr>
          <w:rFonts w:hint="eastAsia" w:ascii="Times New Roman" w:hAnsi="Times New Roman"/>
          <w:color w:val="auto"/>
          <w:lang w:val="en-US" w:eastAsia="zh-CN"/>
        </w:rPr>
        <w:t>如</w:t>
      </w:r>
      <w:r>
        <w:rPr>
          <w:rFonts w:hint="default" w:ascii="Times New Roman" w:hAnsi="Times New Roman"/>
          <w:color w:val="auto"/>
          <w:lang w:val="en-US" w:eastAsia="zh-CN"/>
        </w:rPr>
        <w:t>《导航电子地图增量更新基本要求》《导航电子地图检测规范》《车载导航电子地图产品规范》等</w:t>
      </w:r>
      <w:r>
        <w:rPr>
          <w:rFonts w:hint="eastAsia" w:ascii="Times New Roman" w:hAnsi="Times New Roman"/>
          <w:color w:val="auto"/>
          <w:lang w:val="en-US" w:eastAsia="zh-CN"/>
        </w:rPr>
        <w:t>，要素</w:t>
      </w:r>
      <w:r>
        <w:rPr>
          <w:rFonts w:hint="default" w:ascii="Times New Roman" w:hAnsi="Times New Roman"/>
          <w:color w:val="auto"/>
          <w:lang w:val="en-US" w:eastAsia="zh-CN"/>
        </w:rPr>
        <w:t>内容主要包</w:t>
      </w:r>
      <w:r>
        <w:rPr>
          <w:rFonts w:hint="default" w:ascii="Times New Roman" w:hAnsi="Times New Roman"/>
          <w:color w:val="auto"/>
          <w:highlight w:val="none"/>
          <w:lang w:val="en-US" w:eastAsia="zh-CN"/>
        </w:rPr>
        <w:t>括路网、背景、注记、索引</w:t>
      </w:r>
      <w:r>
        <w:rPr>
          <w:rFonts w:hint="default" w:ascii="Times New Roman" w:hAnsi="Times New Roman"/>
          <w:b w:val="0"/>
          <w:bCs w:val="0"/>
          <w:color w:val="auto"/>
          <w:lang w:val="en-US" w:eastAsia="zh-CN"/>
        </w:rPr>
        <w:t>等4类</w:t>
      </w:r>
      <w:r>
        <w:rPr>
          <w:rFonts w:hint="eastAsia" w:ascii="Times New Roman" w:hAnsi="Times New Roman"/>
          <w:b w:val="0"/>
          <w:bCs w:val="0"/>
          <w:color w:val="auto"/>
          <w:lang w:val="en-US" w:eastAsia="zh-CN"/>
        </w:rPr>
        <w:t>；高级辅助驾驶地图、高精地图类的标准，</w:t>
      </w:r>
      <w:r>
        <w:rPr>
          <w:rFonts w:hint="default" w:ascii="Times New Roman" w:hAnsi="Times New Roman"/>
          <w:color w:val="auto"/>
          <w:lang w:val="en-US" w:eastAsia="zh-CN"/>
        </w:rPr>
        <w:t>如《自动驾驶地图数据规范》《道路高精导航电子地图数据规范》《智能汽车高精地图框架模型》等</w:t>
      </w:r>
      <w:r>
        <w:rPr>
          <w:rFonts w:hint="eastAsia" w:ascii="Times New Roman" w:hAnsi="Times New Roman"/>
          <w:color w:val="auto"/>
          <w:lang w:val="en-US" w:eastAsia="zh-CN"/>
        </w:rPr>
        <w:t>，将</w:t>
      </w:r>
      <w:r>
        <w:rPr>
          <w:rFonts w:hint="default" w:ascii="Times New Roman" w:hAnsi="Times New Roman"/>
          <w:color w:val="auto"/>
          <w:lang w:val="en-US" w:eastAsia="zh-CN"/>
        </w:rPr>
        <w:t>智能汽车基础地图作为支撑智能汽车驾驶自动化系统的导航电子地图，包含的要素更多，相关标准中将地图要素</w:t>
      </w:r>
      <w:r>
        <w:rPr>
          <w:rFonts w:hint="eastAsia" w:ascii="Times New Roman" w:hAnsi="Times New Roman"/>
          <w:color w:val="auto"/>
          <w:lang w:val="en-US" w:eastAsia="zh-CN"/>
        </w:rPr>
        <w:t>主要</w:t>
      </w:r>
      <w:r>
        <w:rPr>
          <w:rFonts w:hint="default" w:ascii="Times New Roman" w:hAnsi="Times New Roman"/>
          <w:color w:val="auto"/>
          <w:lang w:val="en-US" w:eastAsia="zh-CN"/>
        </w:rPr>
        <w:t>按照静态要素（</w:t>
      </w:r>
      <w:r>
        <w:rPr>
          <w:rFonts w:hint="eastAsia" w:ascii="Times New Roman" w:hAnsi="Times New Roman"/>
          <w:color w:val="auto"/>
          <w:lang w:val="en-US" w:eastAsia="zh-CN"/>
        </w:rPr>
        <w:t>如</w:t>
      </w:r>
      <w:r>
        <w:rPr>
          <w:rFonts w:hint="default" w:ascii="Times New Roman" w:hAnsi="Times New Roman"/>
          <w:color w:val="auto"/>
          <w:lang w:val="en-US" w:eastAsia="zh-CN"/>
        </w:rPr>
        <w:t>交通标志、交通标线、交通设施、道路网、车道网等）、动态要素（</w:t>
      </w:r>
      <w:r>
        <w:rPr>
          <w:rFonts w:hint="eastAsia" w:ascii="Times New Roman" w:hAnsi="Times New Roman"/>
          <w:color w:val="auto"/>
          <w:lang w:val="en-US" w:eastAsia="zh-CN"/>
        </w:rPr>
        <w:t>如</w:t>
      </w:r>
      <w:r>
        <w:rPr>
          <w:rFonts w:hint="default" w:ascii="Times New Roman" w:hAnsi="Times New Roman"/>
          <w:color w:val="auto"/>
          <w:lang w:val="en-US" w:eastAsia="zh-CN"/>
        </w:rPr>
        <w:t>车辆动态、道路动态等）</w:t>
      </w:r>
      <w:r>
        <w:rPr>
          <w:rFonts w:hint="eastAsia" w:ascii="Times New Roman" w:hAnsi="Times New Roman"/>
          <w:color w:val="auto"/>
          <w:lang w:val="en-US" w:eastAsia="zh-CN"/>
        </w:rPr>
        <w:t>进行划分</w:t>
      </w:r>
      <w:r>
        <w:rPr>
          <w:rFonts w:hint="default" w:ascii="Times New Roman" w:hAnsi="Times New Roman"/>
          <w:color w:val="auto"/>
          <w:lang w:val="en-US" w:eastAsia="zh-CN"/>
        </w:rPr>
        <w:t>。</w:t>
      </w:r>
    </w:p>
    <w:p>
      <w:pPr>
        <w:pStyle w:val="47"/>
        <w:adjustRightInd w:val="0"/>
        <w:snapToGrid w:val="0"/>
        <w:rPr>
          <w:rFonts w:hint="default"/>
          <w:color w:val="000000"/>
          <w:highlight w:val="none"/>
          <w:lang w:val="en-US" w:eastAsia="zh-CN"/>
        </w:rPr>
      </w:pPr>
      <w:r>
        <w:rPr>
          <w:rFonts w:hint="eastAsia"/>
          <w:color w:val="000000"/>
          <w:lang w:val="en-US" w:eastAsia="zh-CN"/>
        </w:rPr>
        <w:t>本标准的名称为《智能汽车基础地图要素分类和编码》，标准化的对象为智能汽车基础地图要素。作为《智能汽车基础地图标准体系建设指南（2023版）》中基础通用部分标准，</w:t>
      </w:r>
      <w:r>
        <w:rPr>
          <w:rFonts w:hint="eastAsia"/>
          <w:color w:val="000000"/>
          <w:highlight w:val="none"/>
          <w:lang w:val="en-US" w:eastAsia="zh-CN"/>
        </w:rPr>
        <w:t>本标准中地图要素涉及的是智能汽车在自动驾驶应用中所需地图要素的“并集”。</w:t>
      </w:r>
    </w:p>
    <w:p>
      <w:pPr>
        <w:pStyle w:val="47"/>
        <w:adjustRightInd w:val="0"/>
        <w:snapToGrid w:val="0"/>
        <w:rPr>
          <w:rFonts w:hint="default" w:ascii="Times New Roman" w:hAnsi="Times New Roman"/>
          <w:lang w:val="en-US" w:eastAsia="zh-CN"/>
        </w:rPr>
      </w:pPr>
      <w:r>
        <w:rPr>
          <w:rFonts w:hint="default" w:ascii="Times New Roman" w:hAnsi="Times New Roman"/>
          <w:lang w:val="en-US" w:eastAsia="zh-CN"/>
        </w:rPr>
        <w:t>本标准在制定过程中</w:t>
      </w:r>
      <w:r>
        <w:rPr>
          <w:rFonts w:hint="eastAsia" w:ascii="Times New Roman" w:hAnsi="Times New Roman"/>
          <w:lang w:val="en-US" w:eastAsia="zh-CN"/>
        </w:rPr>
        <w:t>还</w:t>
      </w:r>
      <w:r>
        <w:rPr>
          <w:rFonts w:hint="default" w:ascii="Times New Roman" w:hAnsi="Times New Roman"/>
          <w:lang w:val="en-US" w:eastAsia="zh-CN"/>
        </w:rPr>
        <w:t>充分考虑智能汽车基础地图</w:t>
      </w:r>
      <w:r>
        <w:rPr>
          <w:rFonts w:hint="eastAsia" w:ascii="Times New Roman" w:hAnsi="Times New Roman"/>
          <w:lang w:val="en-US" w:eastAsia="zh-CN"/>
        </w:rPr>
        <w:t>的</w:t>
      </w:r>
      <w:r>
        <w:rPr>
          <w:rFonts w:hint="default" w:ascii="Times New Roman" w:hAnsi="Times New Roman"/>
          <w:lang w:val="en-US" w:eastAsia="zh-CN"/>
        </w:rPr>
        <w:t>应用场景覆盖、数据结构与表达方式</w:t>
      </w:r>
      <w:r>
        <w:rPr>
          <w:rFonts w:hint="eastAsia" w:ascii="Times New Roman" w:hAnsi="Times New Roman"/>
          <w:lang w:val="en-US" w:eastAsia="zh-CN"/>
        </w:rPr>
        <w:t>、行</w:t>
      </w:r>
      <w:r>
        <w:rPr>
          <w:rFonts w:hint="default" w:ascii="Times New Roman" w:hAnsi="Times New Roman"/>
          <w:lang w:val="en-US" w:eastAsia="zh-CN"/>
        </w:rPr>
        <w:t>业内各类方案</w:t>
      </w:r>
      <w:r>
        <w:rPr>
          <w:rFonts w:hint="eastAsia" w:ascii="Times New Roman" w:hAnsi="Times New Roman"/>
          <w:lang w:val="en-US" w:eastAsia="zh-CN"/>
        </w:rPr>
        <w:t>以及</w:t>
      </w:r>
      <w:r>
        <w:rPr>
          <w:rFonts w:hint="default" w:ascii="Times New Roman" w:hAnsi="Times New Roman"/>
          <w:lang w:val="en-US" w:eastAsia="zh-CN"/>
        </w:rPr>
        <w:t>多种数据源等要素，提炼并规范针对国内道路的智能汽车基础地图要素表达内容及编码方式，同时也对路侧设施的地理信息要素进行确定和编码，满足通用性原则，也适当地保留扩展功能，以适用于未来地图众</w:t>
      </w:r>
      <w:r>
        <w:rPr>
          <w:rFonts w:hint="eastAsia" w:ascii="Times New Roman" w:hAnsi="Times New Roman"/>
          <w:lang w:val="en-US" w:eastAsia="zh-CN"/>
        </w:rPr>
        <w:t>源</w:t>
      </w:r>
      <w:r>
        <w:rPr>
          <w:rFonts w:hint="default" w:ascii="Times New Roman" w:hAnsi="Times New Roman"/>
          <w:lang w:val="en-US" w:eastAsia="zh-CN"/>
        </w:rPr>
        <w:t>更新、动态高精地图信息来源</w:t>
      </w:r>
      <w:r>
        <w:rPr>
          <w:rFonts w:hint="eastAsia" w:ascii="Times New Roman" w:hAnsi="Times New Roman"/>
          <w:lang w:val="en-US" w:eastAsia="zh-CN"/>
        </w:rPr>
        <w:t>，</w:t>
      </w:r>
      <w:r>
        <w:rPr>
          <w:rFonts w:hint="default" w:ascii="Times New Roman" w:hAnsi="Times New Roman"/>
          <w:lang w:val="en-US" w:eastAsia="zh-CN"/>
        </w:rPr>
        <w:t>实现信息层的实时更新与共享等。</w:t>
      </w:r>
    </w:p>
    <w:p>
      <w:pPr>
        <w:pStyle w:val="47"/>
        <w:adjustRightInd w:val="0"/>
        <w:snapToGrid w:val="0"/>
        <w:rPr>
          <w:rFonts w:hint="eastAsia" w:ascii="Times New Roman" w:hAnsi="Times New Roman"/>
          <w:lang w:val="en-US" w:eastAsia="zh-CN"/>
        </w:rPr>
      </w:pPr>
      <w:r>
        <w:rPr>
          <w:rFonts w:hint="eastAsia" w:ascii="Times New Roman" w:hAnsi="Times New Roman"/>
          <w:lang w:val="en-US" w:eastAsia="zh-CN"/>
        </w:rPr>
        <w:t>本标准中智能汽车基础地图要素的确定，以智能汽车基础地图相关国家、行业、地方和团体标准中涉及的要素为切入点。参照GB/T 40429—2021《汽车驾驶自动化分级》的汽车驾驶自动化功能进行划分，即主要支撑L0和L1等级功能的标准导航电子地图，主要支撑L2和L3等级功能的高级辅助驾驶地图，主要支撑L4和L5等级功能的高精地图。对搜集整理的标准逐个，对各标准内容确定的要素使用思维导图进行整理，进行分类分级拆解。这些标准文本中的要素是本标准中不同层级要素确定的重要基础依据。</w:t>
      </w:r>
    </w:p>
    <w:p>
      <w:pPr>
        <w:pStyle w:val="5"/>
        <w:ind w:firstLine="480"/>
        <w:jc w:val="center"/>
        <w:rPr>
          <w:rFonts w:hint="default"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4</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开展地图要素</w:t>
      </w:r>
      <w:r>
        <w:rPr>
          <w:rFonts w:hint="eastAsia" w:ascii="Times New Roman" w:hAnsi="Times New Roman" w:cs="Times New Roman"/>
          <w:kern w:val="0"/>
          <w:sz w:val="28"/>
          <w:szCs w:val="24"/>
          <w:lang w:val="en-US" w:eastAsia="zh-CN"/>
        </w:rPr>
        <w:t>拆解和</w:t>
      </w:r>
      <w:r>
        <w:rPr>
          <w:rFonts w:hint="eastAsia" w:ascii="Times New Roman" w:hAnsi="Times New Roman" w:eastAsia="黑体" w:cs="Times New Roman"/>
          <w:kern w:val="0"/>
          <w:sz w:val="28"/>
          <w:szCs w:val="24"/>
          <w:lang w:val="en-US" w:eastAsia="zh-CN"/>
        </w:rPr>
        <w:t>分析的标准</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70"/>
        <w:gridCol w:w="7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86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top"/>
              <w:rPr>
                <w:rFonts w:hint="default" w:ascii="仿宋" w:hAnsi="仿宋" w:eastAsia="仿宋" w:cs="仿宋"/>
                <w:b/>
                <w:bCs/>
                <w:i w:val="0"/>
                <w:iCs w:val="0"/>
                <w:color w:val="000000"/>
                <w:kern w:val="0"/>
                <w:sz w:val="24"/>
                <w:szCs w:val="24"/>
                <w:u w:val="none"/>
                <w:lang w:val="en-US" w:eastAsia="zh-CN" w:bidi="ar"/>
              </w:rPr>
            </w:pPr>
            <w:r>
              <w:rPr>
                <w:rFonts w:hint="eastAsia" w:ascii="仿宋" w:hAnsi="仿宋" w:cs="仿宋"/>
                <w:b/>
                <w:bCs/>
                <w:i w:val="0"/>
                <w:iCs w:val="0"/>
                <w:color w:val="000000"/>
                <w:kern w:val="0"/>
                <w:sz w:val="24"/>
                <w:szCs w:val="24"/>
                <w:u w:val="none"/>
                <w:lang w:val="en-US" w:eastAsia="zh-CN" w:bidi="ar"/>
              </w:rPr>
              <w:t>类别</w:t>
            </w: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top"/>
              <w:rPr>
                <w:rFonts w:hint="default" w:ascii="仿宋" w:hAnsi="仿宋" w:eastAsia="仿宋" w:cs="仿宋"/>
                <w:b/>
                <w:bCs/>
                <w:i w:val="0"/>
                <w:iCs w:val="0"/>
                <w:color w:val="000000"/>
                <w:kern w:val="0"/>
                <w:sz w:val="24"/>
                <w:szCs w:val="24"/>
                <w:u w:val="none"/>
                <w:lang w:val="en-US" w:eastAsia="zh-CN" w:bidi="ar"/>
              </w:rPr>
            </w:pPr>
            <w:r>
              <w:rPr>
                <w:rFonts w:hint="eastAsia" w:ascii="仿宋" w:hAnsi="仿宋" w:cs="仿宋"/>
                <w:b/>
                <w:bCs/>
                <w:i w:val="0"/>
                <w:iCs w:val="0"/>
                <w:color w:val="000000"/>
                <w:kern w:val="0"/>
                <w:sz w:val="24"/>
                <w:szCs w:val="24"/>
                <w:u w:val="none"/>
                <w:lang w:val="en-US" w:eastAsia="zh-CN" w:bidi="ar"/>
              </w:rPr>
              <w:t>拆解和分析的标准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top"/>
              <w:rPr>
                <w:rFonts w:hint="default"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标准导航电子地图（</w:t>
            </w:r>
            <w:r>
              <w:rPr>
                <w:rStyle w:val="55"/>
                <w:rFonts w:eastAsia="仿宋"/>
                <w:sz w:val="24"/>
                <w:szCs w:val="24"/>
                <w:lang w:val="en-US" w:eastAsia="zh-CN" w:bidi="ar"/>
              </w:rPr>
              <w:t>L0</w:t>
            </w:r>
            <w:r>
              <w:rPr>
                <w:rStyle w:val="56"/>
                <w:sz w:val="24"/>
                <w:szCs w:val="24"/>
                <w:lang w:val="en-US" w:eastAsia="zh-CN" w:bidi="ar"/>
              </w:rPr>
              <w:t>—</w:t>
            </w:r>
            <w:r>
              <w:rPr>
                <w:rStyle w:val="55"/>
                <w:rFonts w:eastAsia="仿宋"/>
                <w:sz w:val="24"/>
                <w:szCs w:val="24"/>
                <w:lang w:val="en-US" w:eastAsia="zh-CN" w:bidi="ar"/>
              </w:rPr>
              <w:t>L1</w:t>
            </w:r>
            <w:r>
              <w:rPr>
                <w:rStyle w:val="56"/>
                <w:sz w:val="24"/>
                <w:szCs w:val="24"/>
                <w:lang w:val="en-US" w:eastAsia="zh-CN" w:bidi="ar"/>
              </w:rPr>
              <w:t>）</w:t>
            </w: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车载导航地理数据采集处理技术规程</w:t>
            </w:r>
            <w:r>
              <w:rPr>
                <w:rFonts w:hint="eastAsia" w:ascii="仿宋" w:hAnsi="仿宋" w:cs="仿宋"/>
                <w:i w:val="0"/>
                <w:iCs w:val="0"/>
                <w:color w:val="000000"/>
                <w:kern w:val="0"/>
                <w:sz w:val="24"/>
                <w:szCs w:val="24"/>
                <w:u w:val="none"/>
                <w:lang w:val="en-US" w:eastAsia="zh-CN" w:bidi="ar"/>
              </w:rPr>
              <w:t>（</w:t>
            </w:r>
            <w:r>
              <w:rPr>
                <w:rStyle w:val="55"/>
                <w:rFonts w:eastAsia="仿宋"/>
                <w:sz w:val="24"/>
                <w:szCs w:val="24"/>
                <w:lang w:val="en-US" w:eastAsia="zh-CN" w:bidi="ar"/>
              </w:rPr>
              <w:t>GB/T20268</w:t>
            </w:r>
            <w:r>
              <w:rPr>
                <w:rStyle w:val="55"/>
                <w:rFonts w:hint="eastAsia"/>
                <w:sz w:val="24"/>
                <w:szCs w:val="24"/>
                <w:lang w:val="en-US" w:eastAsia="zh-CN" w:bidi="ar"/>
              </w:rPr>
              <w:t>—</w:t>
            </w:r>
            <w:r>
              <w:rPr>
                <w:rStyle w:val="55"/>
                <w:rFonts w:eastAsia="仿宋"/>
                <w:sz w:val="24"/>
                <w:szCs w:val="24"/>
                <w:lang w:val="en-US" w:eastAsia="zh-CN" w:bidi="ar"/>
              </w:rPr>
              <w:t>2006</w:t>
            </w:r>
            <w:r>
              <w:rPr>
                <w:rStyle w:val="55"/>
                <w:rFonts w:hint="eastAsia"/>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车载导航电子地图产品规范</w:t>
            </w:r>
            <w:r>
              <w:rPr>
                <w:rStyle w:val="55"/>
                <w:rFonts w:hint="eastAsia" w:ascii="Times New Roman" w:hAnsi="Times New Roman" w:eastAsia="仿宋" w:cs="Times New Roman"/>
                <w:i w:val="0"/>
                <w:iCs w:val="0"/>
                <w:color w:val="000000"/>
                <w:sz w:val="24"/>
                <w:szCs w:val="24"/>
                <w:lang w:val="en-US" w:eastAsia="zh-CN" w:bidi="ar"/>
              </w:rPr>
              <w:t>（</w:t>
            </w:r>
            <w:r>
              <w:rPr>
                <w:rStyle w:val="55"/>
                <w:rFonts w:hint="default" w:ascii="Times New Roman" w:hAnsi="Times New Roman" w:eastAsia="仿宋" w:cs="Times New Roman"/>
                <w:i w:val="0"/>
                <w:iCs w:val="0"/>
                <w:color w:val="000000"/>
                <w:sz w:val="24"/>
                <w:szCs w:val="24"/>
                <w:lang w:val="en-US" w:eastAsia="zh-CN" w:bidi="ar"/>
              </w:rPr>
              <w:t>GB/T 20267</w:t>
            </w:r>
            <w:r>
              <w:rPr>
                <w:rStyle w:val="55"/>
                <w:rFonts w:hint="eastAsia" w:ascii="Times New Roman" w:hAnsi="Times New Roman" w:eastAsia="仿宋" w:cs="Times New Roman"/>
                <w:i w:val="0"/>
                <w:iCs w:val="0"/>
                <w:color w:val="000000"/>
                <w:sz w:val="24"/>
                <w:szCs w:val="24"/>
                <w:lang w:val="en-US" w:eastAsia="zh-CN" w:bidi="ar"/>
              </w:rPr>
              <w:t>—</w:t>
            </w:r>
            <w:r>
              <w:rPr>
                <w:rStyle w:val="55"/>
                <w:rFonts w:hint="default" w:ascii="Times New Roman" w:hAnsi="Times New Roman" w:eastAsia="仿宋" w:cs="Times New Roman"/>
                <w:i w:val="0"/>
                <w:iCs w:val="0"/>
                <w:color w:val="000000"/>
                <w:sz w:val="24"/>
                <w:szCs w:val="24"/>
                <w:lang w:val="en-US" w:eastAsia="zh-CN" w:bidi="ar"/>
              </w:rPr>
              <w:t>2006</w:t>
            </w:r>
            <w:r>
              <w:rPr>
                <w:rStyle w:val="55"/>
                <w:rFonts w:hint="eastAsia" w:ascii="Times New Roman" w:hAnsi="Times New Roman" w:eastAsia="仿宋" w:cs="Times New Roman"/>
                <w:i w:val="0"/>
                <w:iCs w:val="0"/>
                <w:color w:val="00000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导航电子地图安全处理技术基本要求</w:t>
            </w:r>
            <w:r>
              <w:rPr>
                <w:rStyle w:val="55"/>
                <w:rFonts w:hint="eastAsia" w:cs="Times New Roman"/>
                <w:i w:val="0"/>
                <w:iCs w:val="0"/>
                <w:color w:val="000000"/>
                <w:sz w:val="24"/>
                <w:szCs w:val="24"/>
                <w:lang w:val="en-US" w:eastAsia="zh-CN" w:bidi="ar"/>
              </w:rPr>
              <w:t>（</w:t>
            </w:r>
            <w:r>
              <w:rPr>
                <w:rStyle w:val="55"/>
                <w:rFonts w:ascii="Times New Roman" w:hAnsi="Times New Roman" w:eastAsia="仿宋" w:cs="Times New Roman"/>
                <w:i w:val="0"/>
                <w:iCs w:val="0"/>
                <w:color w:val="000000"/>
                <w:sz w:val="24"/>
                <w:szCs w:val="24"/>
                <w:lang w:val="en-US" w:eastAsia="zh-CN" w:bidi="ar"/>
              </w:rPr>
              <w:t>GB 20263</w:t>
            </w:r>
            <w:r>
              <w:rPr>
                <w:rStyle w:val="55"/>
                <w:rFonts w:hint="eastAsia" w:cs="Times New Roman"/>
                <w:i w:val="0"/>
                <w:iCs w:val="0"/>
                <w:color w:val="000000"/>
                <w:sz w:val="24"/>
                <w:szCs w:val="24"/>
                <w:lang w:val="en-US" w:eastAsia="zh-CN" w:bidi="ar"/>
              </w:rPr>
              <w:t>—</w:t>
            </w:r>
            <w:r>
              <w:rPr>
                <w:rStyle w:val="55"/>
                <w:rFonts w:ascii="Times New Roman" w:hAnsi="Times New Roman" w:eastAsia="仿宋" w:cs="Times New Roman"/>
                <w:i w:val="0"/>
                <w:iCs w:val="0"/>
                <w:color w:val="000000"/>
                <w:sz w:val="24"/>
                <w:szCs w:val="24"/>
                <w:lang w:val="en-US" w:eastAsia="zh-CN" w:bidi="ar"/>
              </w:rPr>
              <w:t>2006</w:t>
            </w:r>
            <w:r>
              <w:rPr>
                <w:rStyle w:val="55"/>
                <w:rFonts w:hint="eastAsia" w:cs="Times New Roman"/>
                <w:i w:val="0"/>
                <w:iCs w:val="0"/>
                <w:color w:val="00000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导航电子地图 分区网络模型</w:t>
            </w:r>
            <w:r>
              <w:rPr>
                <w:rStyle w:val="55"/>
                <w:rFonts w:hint="eastAsia" w:cs="Times New Roman"/>
                <w:i w:val="0"/>
                <w:iCs w:val="0"/>
                <w:color w:val="000000"/>
                <w:sz w:val="24"/>
                <w:szCs w:val="24"/>
                <w:lang w:val="en-US" w:eastAsia="zh-CN" w:bidi="ar"/>
              </w:rPr>
              <w:t>（</w:t>
            </w:r>
            <w:r>
              <w:rPr>
                <w:rStyle w:val="55"/>
                <w:rFonts w:hint="eastAsia" w:ascii="Times New Roman" w:hAnsi="Times New Roman" w:eastAsia="仿宋" w:cs="Times New Roman"/>
                <w:i w:val="0"/>
                <w:iCs w:val="0"/>
                <w:color w:val="000000"/>
                <w:sz w:val="24"/>
                <w:szCs w:val="24"/>
                <w:lang w:val="en-US" w:eastAsia="zh-CN" w:bidi="ar"/>
              </w:rPr>
              <w:t>GB/T40085</w:t>
            </w:r>
            <w:r>
              <w:rPr>
                <w:rStyle w:val="55"/>
                <w:rFonts w:hint="eastAsia" w:cs="Times New Roman"/>
                <w:i w:val="0"/>
                <w:iCs w:val="0"/>
                <w:color w:val="000000"/>
                <w:sz w:val="24"/>
                <w:szCs w:val="24"/>
                <w:lang w:val="en-US" w:eastAsia="zh-CN" w:bidi="ar"/>
              </w:rPr>
              <w:t>—</w:t>
            </w:r>
            <w:r>
              <w:rPr>
                <w:rStyle w:val="55"/>
                <w:rFonts w:hint="eastAsia" w:ascii="Times New Roman" w:hAnsi="Times New Roman" w:eastAsia="仿宋" w:cs="Times New Roman"/>
                <w:i w:val="0"/>
                <w:iCs w:val="0"/>
                <w:color w:val="000000"/>
                <w:sz w:val="24"/>
                <w:szCs w:val="24"/>
                <w:lang w:val="en-US" w:eastAsia="zh-CN" w:bidi="ar"/>
              </w:rPr>
              <w:t>2021</w:t>
            </w:r>
            <w:r>
              <w:rPr>
                <w:rStyle w:val="55"/>
                <w:rFonts w:hint="eastAsia" w:cs="Times New Roman"/>
                <w:i w:val="0"/>
                <w:iCs w:val="0"/>
                <w:color w:val="00000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导航电子地图检测规范</w:t>
            </w:r>
            <w:r>
              <w:rPr>
                <w:rStyle w:val="55"/>
                <w:rFonts w:hint="eastAsia"/>
                <w:sz w:val="24"/>
                <w:szCs w:val="24"/>
                <w:lang w:bidi="ar"/>
              </w:rPr>
              <w:t>（</w:t>
            </w:r>
            <w:r>
              <w:rPr>
                <w:rStyle w:val="55"/>
                <w:sz w:val="24"/>
                <w:szCs w:val="24"/>
                <w:lang w:bidi="ar"/>
              </w:rPr>
              <w:t>CH/T 1019</w:t>
            </w:r>
            <w:r>
              <w:rPr>
                <w:rStyle w:val="55"/>
                <w:rFonts w:hint="eastAsia"/>
                <w:sz w:val="24"/>
                <w:szCs w:val="24"/>
                <w:lang w:bidi="ar"/>
              </w:rPr>
              <w:t>—</w:t>
            </w:r>
            <w:r>
              <w:rPr>
                <w:rStyle w:val="55"/>
                <w:sz w:val="24"/>
                <w:szCs w:val="24"/>
                <w:lang w:bidi="ar"/>
              </w:rPr>
              <w:t>2010</w:t>
            </w:r>
            <w:r>
              <w:rPr>
                <w:rStyle w:val="55"/>
                <w:rFonts w:hint="eastAsia"/>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导航电子地图框架数据交换格式（GB/T35645—2017）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导航电子地图增量更新基本要求（GB/T35646—2017）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地图导航定位产品通用规范（GB/T35766—2017）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室内导航电子地图产品规范（计划号：202132018）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室内导航电子地图生产技术规范（计划号：202132017）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高级辅助驾驶地图（</w:t>
            </w:r>
            <w:r>
              <w:rPr>
                <w:rStyle w:val="55"/>
                <w:rFonts w:eastAsia="仿宋"/>
                <w:sz w:val="24"/>
                <w:szCs w:val="24"/>
                <w:lang w:val="en-US" w:eastAsia="zh-CN" w:bidi="ar"/>
              </w:rPr>
              <w:t>L2</w:t>
            </w:r>
            <w:r>
              <w:rPr>
                <w:rStyle w:val="56"/>
                <w:sz w:val="24"/>
                <w:szCs w:val="24"/>
                <w:lang w:val="en-US" w:eastAsia="zh-CN" w:bidi="ar"/>
              </w:rPr>
              <w:t>—</w:t>
            </w:r>
            <w:r>
              <w:rPr>
                <w:rStyle w:val="55"/>
                <w:rFonts w:eastAsia="仿宋"/>
                <w:sz w:val="24"/>
                <w:szCs w:val="24"/>
                <w:lang w:val="en-US" w:eastAsia="zh-CN" w:bidi="ar"/>
              </w:rPr>
              <w:t>L3</w:t>
            </w:r>
            <w:r>
              <w:rPr>
                <w:rStyle w:val="56"/>
                <w:sz w:val="24"/>
                <w:szCs w:val="24"/>
                <w:lang w:val="en-US" w:eastAsia="zh-CN" w:bidi="ar"/>
              </w:rPr>
              <w:t>）</w:t>
            </w: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高级辅助驾驶地图技术审查送审数据规格（</w:t>
            </w:r>
            <w:r>
              <w:rPr>
                <w:rStyle w:val="55"/>
                <w:rFonts w:hint="default" w:ascii="Times New Roman" w:hAnsi="Times New Roman" w:eastAsia="仿宋" w:cs="Times New Roman"/>
                <w:i w:val="0"/>
                <w:iCs w:val="0"/>
                <w:color w:val="000000"/>
                <w:sz w:val="24"/>
                <w:szCs w:val="24"/>
                <w:lang w:val="en-US" w:eastAsia="zh-CN" w:bidi="ar"/>
              </w:rPr>
              <w:t>T</w:t>
            </w:r>
            <w:r>
              <w:rPr>
                <w:rStyle w:val="55"/>
                <w:rFonts w:hint="eastAsia" w:ascii="Times New Roman" w:hAnsi="Times New Roman" w:eastAsia="仿宋" w:cs="Times New Roman"/>
                <w:i w:val="0"/>
                <w:iCs w:val="0"/>
                <w:color w:val="000000"/>
                <w:sz w:val="24"/>
                <w:szCs w:val="24"/>
                <w:lang w:val="en-US" w:eastAsia="zh-CN" w:bidi="ar"/>
              </w:rPr>
              <w:t>/</w:t>
            </w:r>
            <w:r>
              <w:rPr>
                <w:rStyle w:val="55"/>
                <w:rFonts w:hint="default" w:ascii="Times New Roman" w:hAnsi="Times New Roman" w:eastAsia="仿宋" w:cs="Times New Roman"/>
                <w:i w:val="0"/>
                <w:iCs w:val="0"/>
                <w:color w:val="000000"/>
                <w:sz w:val="24"/>
                <w:szCs w:val="24"/>
                <w:lang w:val="en-US" w:eastAsia="zh-CN" w:bidi="ar"/>
              </w:rPr>
              <w:t>CAGIS 13</w:t>
            </w:r>
            <w:r>
              <w:rPr>
                <w:rStyle w:val="55"/>
                <w:rFonts w:hint="eastAsia" w:ascii="Times New Roman" w:hAnsi="Times New Roman" w:eastAsia="仿宋" w:cs="Times New Roman"/>
                <w:i w:val="0"/>
                <w:iCs w:val="0"/>
                <w:color w:val="000000"/>
                <w:sz w:val="24"/>
                <w:szCs w:val="24"/>
                <w:lang w:val="en-US" w:eastAsia="zh-CN" w:bidi="ar"/>
              </w:rPr>
              <w:t>—</w:t>
            </w:r>
            <w:r>
              <w:rPr>
                <w:rStyle w:val="55"/>
                <w:rFonts w:hint="default" w:ascii="Times New Roman" w:hAnsi="Times New Roman" w:eastAsia="仿宋" w:cs="Times New Roman"/>
                <w:i w:val="0"/>
                <w:iCs w:val="0"/>
                <w:color w:val="000000"/>
                <w:sz w:val="24"/>
                <w:szCs w:val="24"/>
                <w:lang w:val="en-US" w:eastAsia="zh-CN" w:bidi="ar"/>
              </w:rPr>
              <w:t>2024</w:t>
            </w:r>
            <w:r>
              <w:rPr>
                <w:rStyle w:val="55"/>
                <w:rFonts w:hint="eastAsia" w:ascii="Times New Roman" w:hAnsi="Times New Roman" w:eastAsia="仿宋" w:cs="Times New Roman"/>
                <w:i w:val="0"/>
                <w:iCs w:val="0"/>
                <w:color w:val="00000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高级辅助驾驶地图审查要求（GB/T 44489—2024）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无人驾驶高精度地图（</w:t>
            </w:r>
            <w:r>
              <w:rPr>
                <w:rStyle w:val="55"/>
                <w:rFonts w:eastAsia="仿宋"/>
                <w:sz w:val="24"/>
                <w:szCs w:val="24"/>
                <w:lang w:val="en-US" w:eastAsia="zh-CN" w:bidi="ar"/>
              </w:rPr>
              <w:t>L4</w:t>
            </w:r>
            <w:r>
              <w:rPr>
                <w:rStyle w:val="56"/>
                <w:sz w:val="24"/>
                <w:szCs w:val="24"/>
                <w:lang w:val="en-US" w:eastAsia="zh-CN" w:bidi="ar"/>
              </w:rPr>
              <w:t>—</w:t>
            </w:r>
            <w:r>
              <w:rPr>
                <w:rStyle w:val="55"/>
                <w:rFonts w:eastAsia="仿宋"/>
                <w:sz w:val="24"/>
                <w:szCs w:val="24"/>
                <w:lang w:val="en-US" w:eastAsia="zh-CN" w:bidi="ar"/>
              </w:rPr>
              <w:t>L5</w:t>
            </w:r>
            <w:r>
              <w:rPr>
                <w:rStyle w:val="56"/>
                <w:sz w:val="24"/>
                <w:szCs w:val="24"/>
                <w:lang w:val="en-US" w:eastAsia="zh-CN" w:bidi="ar"/>
              </w:rPr>
              <w:t>）</w:t>
            </w: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道路高精导航电子地图生产技术规范（CH/T4026—2023）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道路高精导航电子地图数据规范（CH/T4027—2023）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道路高精导航电子地图质量规范（计划号：202232001）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电子公路图路线及沿线设施要素高精度表达规范（</w:t>
            </w:r>
            <w:r>
              <w:rPr>
                <w:rStyle w:val="55"/>
                <w:rFonts w:eastAsia="仿宋"/>
                <w:sz w:val="24"/>
                <w:szCs w:val="24"/>
                <w:lang w:val="en-US" w:eastAsia="zh-CN" w:bidi="ar"/>
              </w:rPr>
              <w:t>GB/T42056</w:t>
            </w:r>
            <w:r>
              <w:rPr>
                <w:rStyle w:val="55"/>
                <w:rFonts w:hint="eastAsia" w:eastAsia="仿宋"/>
                <w:sz w:val="24"/>
                <w:szCs w:val="24"/>
                <w:lang w:val="en-US" w:eastAsia="zh-CN" w:bidi="ar"/>
              </w:rPr>
              <w:t>—</w:t>
            </w:r>
            <w:r>
              <w:rPr>
                <w:rStyle w:val="55"/>
                <w:rFonts w:eastAsia="仿宋"/>
                <w:sz w:val="24"/>
                <w:szCs w:val="24"/>
                <w:lang w:val="en-US" w:eastAsia="zh-CN" w:bidi="ar"/>
              </w:rPr>
              <w:t>2022</w:t>
            </w:r>
            <w:r>
              <w:rPr>
                <w:rStyle w:val="55"/>
                <w:rFonts w:hint="eastAsia" w:eastAsia="仿宋"/>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交通系统高精度地图服务技术规范（</w:t>
            </w:r>
            <w:r>
              <w:rPr>
                <w:rStyle w:val="55"/>
                <w:rFonts w:eastAsia="仿宋"/>
                <w:sz w:val="24"/>
                <w:szCs w:val="24"/>
                <w:lang w:val="en-US" w:eastAsia="zh-CN" w:bidi="ar"/>
              </w:rPr>
              <w:t>T/CITSA 25</w:t>
            </w:r>
            <w:r>
              <w:rPr>
                <w:rStyle w:val="55"/>
                <w:rFonts w:hint="eastAsia" w:eastAsia="仿宋"/>
                <w:sz w:val="24"/>
                <w:szCs w:val="24"/>
                <w:lang w:val="en-US" w:eastAsia="zh-CN" w:bidi="ar"/>
              </w:rPr>
              <w:t>—</w:t>
            </w:r>
            <w:r>
              <w:rPr>
                <w:rStyle w:val="55"/>
                <w:rFonts w:eastAsia="仿宋"/>
                <w:sz w:val="24"/>
                <w:szCs w:val="24"/>
                <w:lang w:val="en-US" w:eastAsia="zh-CN" w:bidi="ar"/>
              </w:rPr>
              <w:t>2022</w:t>
            </w:r>
            <w:r>
              <w:rPr>
                <w:rStyle w:val="55"/>
                <w:rFonts w:hint="eastAsia" w:eastAsia="仿宋"/>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智能汽车高精度地图框架模型（</w:t>
            </w:r>
            <w:r>
              <w:rPr>
                <w:rStyle w:val="55"/>
                <w:rFonts w:eastAsia="仿宋"/>
                <w:sz w:val="24"/>
                <w:szCs w:val="24"/>
                <w:lang w:val="en-US" w:eastAsia="zh-CN" w:bidi="ar"/>
              </w:rPr>
              <w:t>202332017</w:t>
            </w:r>
            <w:r>
              <w:rPr>
                <w:rStyle w:val="55"/>
                <w:rFonts w:hint="eastAsia" w:eastAsia="仿宋"/>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智能汽车基础地图众源更新基本要求（</w:t>
            </w:r>
            <w:r>
              <w:rPr>
                <w:rStyle w:val="55"/>
                <w:rFonts w:eastAsia="仿宋"/>
                <w:sz w:val="24"/>
                <w:szCs w:val="24"/>
                <w:lang w:val="en-US" w:eastAsia="zh-CN" w:bidi="ar"/>
              </w:rPr>
              <w:t>T/CSGPC031-2024</w:t>
            </w:r>
            <w:r>
              <w:rPr>
                <w:rStyle w:val="55"/>
                <w:rFonts w:hint="eastAsia" w:eastAsia="仿宋"/>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智能网联汽车 自动驾驶地图采集要素模型与交换格式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智能网联汽车 自动驾驶地图动态信息数据交换格式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智能运输系统 智能驾驶电子道路图数据模型与表达 第</w:t>
            </w:r>
            <w:r>
              <w:rPr>
                <w:rStyle w:val="55"/>
                <w:rFonts w:eastAsia="仿宋"/>
                <w:sz w:val="24"/>
                <w:szCs w:val="24"/>
                <w:lang w:val="en-US" w:eastAsia="zh-CN" w:bidi="ar"/>
              </w:rPr>
              <w:t>1部分：封闭道路（GB/T42517.1-2023</w:t>
            </w:r>
            <w:r>
              <w:rPr>
                <w:rStyle w:val="55"/>
                <w:rFonts w:hint="eastAsia" w:eastAsia="仿宋"/>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智能运输系统 智能驾驶电子道路图数据模型与表达 第</w:t>
            </w:r>
            <w:r>
              <w:rPr>
                <w:rStyle w:val="55"/>
                <w:rFonts w:eastAsia="仿宋"/>
                <w:sz w:val="24"/>
                <w:szCs w:val="24"/>
                <w:lang w:val="en-US" w:eastAsia="zh-CN" w:bidi="ar"/>
              </w:rPr>
              <w:t>2部分：开放道路（GB/T42517.2-2023</w:t>
            </w:r>
            <w:r>
              <w:rPr>
                <w:rStyle w:val="55"/>
                <w:rFonts w:hint="eastAsia" w:eastAsia="仿宋"/>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eastAsia="仿宋"/>
                <w:sz w:val="24"/>
                <w:szCs w:val="24"/>
                <w:lang w:val="en-US" w:eastAsia="zh-CN" w:bidi="ar"/>
              </w:rPr>
            </w:pPr>
            <w:r>
              <w:rPr>
                <w:rStyle w:val="55"/>
                <w:rFonts w:hint="eastAsia" w:eastAsia="仿宋"/>
                <w:sz w:val="24"/>
                <w:szCs w:val="24"/>
                <w:lang w:val="en-US" w:eastAsia="zh-CN" w:bidi="ar"/>
              </w:rPr>
              <w:t>自动驾驶地图数据规范</w:t>
            </w:r>
            <w:r>
              <w:rPr>
                <w:rStyle w:val="55"/>
                <w:rFonts w:eastAsia="仿宋"/>
                <w:sz w:val="24"/>
                <w:szCs w:val="24"/>
                <w:lang w:val="en-US" w:eastAsia="zh-CN" w:bidi="ar"/>
              </w:rPr>
              <w:t>（DB11/T 2041</w:t>
            </w:r>
            <w:r>
              <w:rPr>
                <w:rStyle w:val="55"/>
                <w:rFonts w:hint="eastAsia" w:eastAsia="仿宋"/>
                <w:sz w:val="24"/>
                <w:szCs w:val="24"/>
                <w:lang w:val="en-US" w:eastAsia="zh-CN" w:bidi="ar"/>
              </w:rPr>
              <w:t>—</w:t>
            </w:r>
            <w:r>
              <w:rPr>
                <w:rStyle w:val="55"/>
                <w:rFonts w:eastAsia="仿宋"/>
                <w:sz w:val="24"/>
                <w:szCs w:val="24"/>
                <w:lang w:val="en-US" w:eastAsia="zh-CN" w:bidi="ar"/>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自动驾驶地图特征走位数据技术规范（DB11/T 1880—2021）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自动驾驶高精地图产品规格（T/CSGPC018—2024）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Style w:val="55"/>
                <w:rFonts w:hint="eastAsia" w:ascii="Times New Roman" w:hAnsi="Times New Roman" w:eastAsia="仿宋" w:cs="Times New Roman"/>
                <w:i w:val="0"/>
                <w:iCs w:val="0"/>
                <w:color w:val="000000"/>
                <w:sz w:val="24"/>
                <w:szCs w:val="24"/>
                <w:lang w:val="en-US" w:eastAsia="zh-CN" w:bidi="ar"/>
              </w:rPr>
            </w:pPr>
            <w:r>
              <w:rPr>
                <w:rStyle w:val="55"/>
                <w:rFonts w:hint="eastAsia" w:ascii="Times New Roman" w:hAnsi="Times New Roman" w:eastAsia="仿宋" w:cs="Times New Roman"/>
                <w:i w:val="0"/>
                <w:iCs w:val="0"/>
                <w:color w:val="000000"/>
                <w:sz w:val="24"/>
                <w:szCs w:val="24"/>
                <w:lang w:val="en-US" w:eastAsia="zh-CN" w:bidi="ar"/>
              </w:rPr>
              <w:t>自动驾驶高精地图动态数据交互模式及内容（</w:t>
            </w:r>
            <w:r>
              <w:rPr>
                <w:rStyle w:val="55"/>
                <w:rFonts w:hint="default" w:ascii="Times New Roman" w:hAnsi="Times New Roman" w:eastAsia="仿宋" w:cs="Times New Roman"/>
                <w:i w:val="0"/>
                <w:iCs w:val="0"/>
                <w:color w:val="000000"/>
                <w:sz w:val="24"/>
                <w:szCs w:val="24"/>
                <w:lang w:val="en-US" w:eastAsia="zh-CN" w:bidi="ar"/>
              </w:rPr>
              <w:t>T</w:t>
            </w:r>
            <w:r>
              <w:rPr>
                <w:rStyle w:val="55"/>
                <w:rFonts w:hint="eastAsia" w:ascii="Times New Roman" w:hAnsi="Times New Roman" w:eastAsia="仿宋" w:cs="Times New Roman"/>
                <w:i w:val="0"/>
                <w:iCs w:val="0"/>
                <w:color w:val="000000"/>
                <w:sz w:val="24"/>
                <w:szCs w:val="24"/>
                <w:lang w:val="en-US" w:eastAsia="zh-CN" w:bidi="ar"/>
              </w:rPr>
              <w:t>/</w:t>
            </w:r>
            <w:r>
              <w:rPr>
                <w:rStyle w:val="55"/>
                <w:rFonts w:hint="default" w:ascii="Times New Roman" w:hAnsi="Times New Roman" w:eastAsia="仿宋" w:cs="Times New Roman"/>
                <w:i w:val="0"/>
                <w:iCs w:val="0"/>
                <w:color w:val="000000"/>
                <w:sz w:val="24"/>
                <w:szCs w:val="24"/>
                <w:lang w:val="en-US" w:eastAsia="zh-CN" w:bidi="ar"/>
              </w:rPr>
              <w:t>CSGPC 024</w:t>
            </w:r>
            <w:r>
              <w:rPr>
                <w:rStyle w:val="55"/>
                <w:rFonts w:hint="eastAsia" w:ascii="Times New Roman" w:hAnsi="Times New Roman" w:eastAsia="仿宋" w:cs="Times New Roman"/>
                <w:i w:val="0"/>
                <w:iCs w:val="0"/>
                <w:color w:val="000000"/>
                <w:sz w:val="24"/>
                <w:szCs w:val="24"/>
                <w:lang w:val="en-US" w:eastAsia="zh-CN" w:bidi="ar"/>
              </w:rPr>
              <w:t>—</w:t>
            </w:r>
            <w:r>
              <w:rPr>
                <w:rStyle w:val="55"/>
                <w:rFonts w:hint="default" w:ascii="Times New Roman" w:hAnsi="Times New Roman" w:eastAsia="仿宋" w:cs="Times New Roman"/>
                <w:i w:val="0"/>
                <w:iCs w:val="0"/>
                <w:color w:val="000000"/>
                <w:sz w:val="24"/>
                <w:szCs w:val="24"/>
                <w:lang w:val="en-US" w:eastAsia="zh-CN" w:bidi="ar"/>
              </w:rPr>
              <w:t>2024</w:t>
            </w:r>
            <w:r>
              <w:rPr>
                <w:rStyle w:val="55"/>
                <w:rFonts w:hint="eastAsia" w:ascii="Times New Roman" w:hAnsi="Times New Roman" w:eastAsia="仿宋" w:cs="Times New Roman"/>
                <w:i w:val="0"/>
                <w:iCs w:val="0"/>
                <w:color w:val="00000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2" w:type="pct"/>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rPr>
                <w:rFonts w:hint="eastAsia" w:ascii="仿宋" w:hAnsi="仿宋" w:eastAsia="仿宋" w:cs="仿宋"/>
                <w:i w:val="0"/>
                <w:iCs w:val="0"/>
                <w:color w:val="000000"/>
                <w:sz w:val="24"/>
                <w:szCs w:val="24"/>
                <w:u w:val="none"/>
              </w:rPr>
            </w:pPr>
          </w:p>
        </w:tc>
        <w:tc>
          <w:tcPr>
            <w:tcW w:w="413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自动驾驶高精地图数据交互接口</w:t>
            </w:r>
          </w:p>
        </w:tc>
      </w:tr>
    </w:tbl>
    <w:p>
      <w:pPr>
        <w:pStyle w:val="49"/>
        <w:keepNext w:val="0"/>
        <w:keepLines w:val="0"/>
        <w:pageBreakBefore w:val="0"/>
        <w:widowControl w:val="0"/>
        <w:numPr>
          <w:ilvl w:val="0"/>
          <w:numId w:val="0"/>
        </w:numPr>
        <w:kinsoku/>
        <w:wordWrap/>
        <w:overflowPunct/>
        <w:topLinePunct w:val="0"/>
        <w:autoSpaceDE/>
        <w:autoSpaceDN/>
        <w:bidi w:val="0"/>
        <w:adjustRightInd w:val="0"/>
        <w:snapToGrid w:val="0"/>
        <w:ind w:firstLine="602" w:firstLineChars="200"/>
        <w:textAlignment w:val="auto"/>
        <w:outlineLvl w:val="3"/>
        <w:rPr>
          <w:rFonts w:hint="default" w:cs="Times New Roman"/>
          <w:b/>
          <w:kern w:val="2"/>
          <w:sz w:val="30"/>
          <w:szCs w:val="30"/>
          <w:lang w:val="en-US" w:eastAsia="zh-CN" w:bidi="ar-SA"/>
        </w:rPr>
      </w:pPr>
      <w:r>
        <w:rPr>
          <w:rFonts w:hint="eastAsia" w:cs="Times New Roman"/>
          <w:b/>
          <w:kern w:val="2"/>
          <w:sz w:val="30"/>
          <w:szCs w:val="30"/>
          <w:lang w:val="en-US" w:eastAsia="zh-CN" w:bidi="ar-SA"/>
        </w:rPr>
        <w:t>2.2.1.3</w:t>
      </w:r>
      <w:r>
        <w:rPr>
          <w:rFonts w:hint="default" w:cs="Times New Roman"/>
          <w:b/>
          <w:kern w:val="2"/>
          <w:sz w:val="30"/>
          <w:szCs w:val="30"/>
          <w:lang w:val="en-US" w:eastAsia="zh-CN" w:bidi="ar-SA"/>
        </w:rPr>
        <w:t>要素分类体系构建</w:t>
      </w:r>
    </w:p>
    <w:p>
      <w:pPr>
        <w:pStyle w:val="47"/>
        <w:adjustRightInd w:val="0"/>
        <w:snapToGrid w:val="0"/>
        <w:rPr>
          <w:rFonts w:hint="eastAsia" w:ascii="Times New Roman" w:hAnsi="Times New Roman"/>
          <w:lang w:val="en-US" w:eastAsia="zh-CN"/>
        </w:rPr>
      </w:pPr>
      <w:r>
        <w:rPr>
          <w:rFonts w:hint="eastAsia" w:ascii="Times New Roman" w:hAnsi="Times New Roman"/>
          <w:lang w:val="en-US" w:eastAsia="zh-CN"/>
        </w:rPr>
        <w:t>依据GB/T 7027—2002 《信息分类和编码的基本原则与方法》和参考相关分类和编码标准，本文件中要素采用线分法对不同要素进行分类。</w:t>
      </w:r>
    </w:p>
    <w:p>
      <w:pPr>
        <w:pStyle w:val="47"/>
        <w:adjustRightInd w:val="0"/>
        <w:snapToGrid w:val="0"/>
        <w:rPr>
          <w:rFonts w:hint="eastAsia" w:ascii="Times New Roman" w:hAnsi="Times New Roman"/>
          <w:lang w:val="en-US" w:eastAsia="zh-CN"/>
        </w:rPr>
      </w:pPr>
      <w:r>
        <w:rPr>
          <w:rFonts w:hint="eastAsia" w:ascii="Times New Roman" w:hAnsi="Times New Roman"/>
          <w:lang w:val="en-US" w:eastAsia="zh-CN"/>
        </w:rPr>
        <w:t>经过多次的调研和讨论，对相关标准中的拆解要素内容进行对比分析，综合取舍，归纳总结，最终确定要素类型按从属关系依次分为三级：大类、中类、小类。</w:t>
      </w:r>
    </w:p>
    <w:p>
      <w:pPr>
        <w:outlineLvl w:val="4"/>
        <w:rPr>
          <w:rFonts w:hint="default" w:ascii="Times New Roman" w:hAnsi="Times New Roman" w:eastAsia="仿宋"/>
          <w:b/>
          <w:bCs/>
          <w:sz w:val="28"/>
          <w:szCs w:val="28"/>
          <w:lang w:val="en-US" w:eastAsia="zh-CN"/>
        </w:rPr>
      </w:pPr>
      <w:r>
        <w:rPr>
          <w:rFonts w:hint="eastAsia"/>
          <w:b/>
          <w:bCs/>
          <w:sz w:val="28"/>
          <w:szCs w:val="28"/>
          <w:lang w:val="en-US" w:eastAsia="zh-CN"/>
        </w:rPr>
        <w:t>（</w:t>
      </w:r>
      <w:r>
        <w:rPr>
          <w:rFonts w:hint="eastAsia" w:ascii="Times New Roman" w:hAnsi="Times New Roman"/>
          <w:b/>
          <w:bCs/>
          <w:sz w:val="28"/>
          <w:szCs w:val="28"/>
          <w:lang w:val="en-US" w:eastAsia="zh-CN"/>
        </w:rPr>
        <w:t>1</w:t>
      </w:r>
      <w:r>
        <w:rPr>
          <w:rFonts w:hint="eastAsia"/>
          <w:b/>
          <w:bCs/>
          <w:sz w:val="28"/>
          <w:szCs w:val="28"/>
          <w:lang w:val="en-US" w:eastAsia="zh-CN"/>
        </w:rPr>
        <w:t>）</w:t>
      </w:r>
      <w:r>
        <w:rPr>
          <w:rFonts w:hint="eastAsia" w:ascii="Times New Roman" w:hAnsi="Times New Roman"/>
          <w:b/>
          <w:bCs/>
          <w:sz w:val="28"/>
          <w:szCs w:val="28"/>
          <w:lang w:val="en-US" w:eastAsia="zh-CN"/>
        </w:rPr>
        <w:t>大类</w:t>
      </w:r>
    </w:p>
    <w:p>
      <w:pPr>
        <w:bidi w:val="0"/>
        <w:rPr>
          <w:rFonts w:hint="eastAsia"/>
          <w:sz w:val="28"/>
          <w:szCs w:val="28"/>
          <w:lang w:val="en-US" w:eastAsia="zh-CN"/>
        </w:rPr>
      </w:pPr>
      <w:r>
        <w:rPr>
          <w:rFonts w:hint="eastAsia" w:ascii="Times New Roman" w:hAnsi="Times New Roman" w:eastAsia="仿宋" w:cs="Times New Roman"/>
          <w:kern w:val="2"/>
          <w:sz w:val="28"/>
          <w:szCs w:val="28"/>
          <w:lang w:val="en-US" w:eastAsia="zh-CN" w:bidi="ar-SA"/>
        </w:rPr>
        <w:t>《智能汽车基础地图标准体系建设指南（2023版）》解读提到，与传统导航电子地图</w:t>
      </w:r>
      <w:r>
        <w:rPr>
          <w:rFonts w:hint="eastAsia"/>
          <w:sz w:val="28"/>
          <w:szCs w:val="28"/>
          <w:lang w:val="en-US" w:eastAsia="zh-CN"/>
        </w:rPr>
        <w:t>相比，智能汽车基础地图精度更高、更新更快、内容更丰富，既包括</w:t>
      </w:r>
      <w:r>
        <w:rPr>
          <w:rFonts w:hint="eastAsia"/>
          <w:b/>
          <w:bCs/>
          <w:sz w:val="28"/>
          <w:szCs w:val="28"/>
          <w:lang w:val="en-US" w:eastAsia="zh-CN"/>
        </w:rPr>
        <w:t>静态地图信息</w:t>
      </w:r>
      <w:r>
        <w:rPr>
          <w:rFonts w:hint="eastAsia"/>
          <w:sz w:val="28"/>
          <w:szCs w:val="28"/>
          <w:lang w:val="en-US" w:eastAsia="zh-CN"/>
        </w:rPr>
        <w:t>，又涵盖车端实时采集、处理、使用的</w:t>
      </w:r>
      <w:r>
        <w:rPr>
          <w:rFonts w:hint="eastAsia"/>
          <w:b/>
          <w:bCs/>
          <w:sz w:val="28"/>
          <w:szCs w:val="28"/>
          <w:lang w:val="en-US" w:eastAsia="zh-CN"/>
        </w:rPr>
        <w:t>动态地理信息</w:t>
      </w:r>
      <w:r>
        <w:rPr>
          <w:rFonts w:hint="eastAsia"/>
          <w:sz w:val="28"/>
          <w:szCs w:val="28"/>
          <w:lang w:val="en-US" w:eastAsia="zh-CN"/>
        </w:rPr>
        <w:t>。</w:t>
      </w:r>
    </w:p>
    <w:p>
      <w:pPr>
        <w:bidi w:val="0"/>
        <w:rPr>
          <w:rFonts w:hint="eastAsia" w:ascii="Times New Roman" w:hAnsi="Times New Roman"/>
          <w:sz w:val="28"/>
          <w:szCs w:val="28"/>
          <w:lang w:val="en-US" w:eastAsia="zh-CN"/>
        </w:rPr>
      </w:pPr>
      <w:r>
        <w:rPr>
          <w:rFonts w:hint="eastAsia"/>
          <w:sz w:val="28"/>
          <w:szCs w:val="28"/>
          <w:lang w:val="en-US" w:eastAsia="zh-CN"/>
        </w:rPr>
        <w:t>根据智能汽车基础地图相关标准现状清单，除去预研或在研标准外，</w:t>
      </w:r>
      <w:r>
        <w:rPr>
          <w:rFonts w:hint="eastAsia" w:ascii="Times New Roman" w:hAnsi="Times New Roman"/>
          <w:sz w:val="28"/>
          <w:szCs w:val="28"/>
          <w:lang w:val="en-US" w:eastAsia="zh-CN"/>
        </w:rPr>
        <w:t>其中有</w:t>
      </w:r>
      <w:r>
        <w:rPr>
          <w:rFonts w:hint="eastAsia"/>
          <w:sz w:val="28"/>
          <w:szCs w:val="28"/>
          <w:lang w:val="en-US" w:eastAsia="zh-CN"/>
        </w:rPr>
        <w:t>10</w:t>
      </w:r>
      <w:r>
        <w:rPr>
          <w:rFonts w:hint="eastAsia" w:ascii="Times New Roman" w:hAnsi="Times New Roman"/>
          <w:sz w:val="28"/>
          <w:szCs w:val="28"/>
          <w:lang w:val="en-US" w:eastAsia="zh-CN"/>
        </w:rPr>
        <w:t>项标准能找到直接或间接的标准内容及介绍</w:t>
      </w:r>
      <w:r>
        <w:rPr>
          <w:rFonts w:hint="eastAsia"/>
          <w:sz w:val="28"/>
          <w:szCs w:val="28"/>
          <w:lang w:val="en-US" w:eastAsia="zh-CN"/>
        </w:rPr>
        <w:t>。</w:t>
      </w:r>
      <w:r>
        <w:rPr>
          <w:rFonts w:hint="eastAsia" w:ascii="Times New Roman" w:hAnsi="Times New Roman"/>
          <w:sz w:val="28"/>
          <w:szCs w:val="28"/>
          <w:lang w:val="en-US" w:eastAsia="zh-CN"/>
        </w:rPr>
        <w:t>分析其内容的共性后可以看出，根据应用场景不同，智能汽车基础地图包含的地图要素有所不同，主要包含</w:t>
      </w:r>
      <w:r>
        <w:rPr>
          <w:rFonts w:hint="eastAsia" w:ascii="Times New Roman" w:hAnsi="Times New Roman"/>
          <w:b/>
          <w:bCs/>
          <w:sz w:val="28"/>
          <w:szCs w:val="28"/>
          <w:lang w:val="en-US" w:eastAsia="zh-CN"/>
        </w:rPr>
        <w:t>动态环境信息</w:t>
      </w:r>
      <w:r>
        <w:rPr>
          <w:rFonts w:hint="eastAsia" w:ascii="Times New Roman" w:hAnsi="Times New Roman"/>
          <w:b w:val="0"/>
          <w:bCs w:val="0"/>
          <w:sz w:val="28"/>
          <w:szCs w:val="28"/>
          <w:lang w:val="en-US" w:eastAsia="zh-CN"/>
        </w:rPr>
        <w:t>（移动物体、驾驶环境信息等）及</w:t>
      </w:r>
      <w:r>
        <w:rPr>
          <w:rFonts w:hint="eastAsia" w:ascii="Times New Roman" w:hAnsi="Times New Roman"/>
          <w:b/>
          <w:bCs/>
          <w:sz w:val="28"/>
          <w:szCs w:val="28"/>
          <w:lang w:val="en-US" w:eastAsia="zh-CN"/>
        </w:rPr>
        <w:t>静态高精要素</w:t>
      </w:r>
      <w:r>
        <w:rPr>
          <w:rFonts w:hint="eastAsia" w:ascii="Times New Roman" w:hAnsi="Times New Roman"/>
          <w:b w:val="0"/>
          <w:bCs w:val="0"/>
          <w:sz w:val="28"/>
          <w:szCs w:val="28"/>
          <w:lang w:val="en-US" w:eastAsia="zh-CN"/>
        </w:rPr>
        <w:t>（道路级路网、车道级路网、路面标线和道路交通设施物等）</w:t>
      </w:r>
      <w:r>
        <w:rPr>
          <w:rFonts w:hint="eastAsia" w:ascii="Times New Roman" w:hAnsi="Times New Roman"/>
          <w:sz w:val="28"/>
          <w:szCs w:val="28"/>
          <w:lang w:val="en-US" w:eastAsia="zh-CN"/>
        </w:rPr>
        <w:t>的自动驾驶环境。</w:t>
      </w:r>
    </w:p>
    <w:p>
      <w:pPr>
        <w:bidi w:val="0"/>
        <w:rPr>
          <w:rFonts w:hint="eastAsia" w:ascii="Times New Roman" w:hAnsi="Times New Roman"/>
          <w:sz w:val="28"/>
          <w:szCs w:val="28"/>
          <w:lang w:val="en-US" w:eastAsia="zh-CN"/>
        </w:rPr>
      </w:pPr>
    </w:p>
    <w:p>
      <w:pPr>
        <w:bidi w:val="0"/>
        <w:rPr>
          <w:rFonts w:hint="eastAsia" w:ascii="Times New Roman" w:hAnsi="Times New Roman"/>
          <w:sz w:val="28"/>
          <w:szCs w:val="28"/>
          <w:lang w:val="en-US" w:eastAsia="zh-CN"/>
        </w:rPr>
      </w:pPr>
    </w:p>
    <w:p>
      <w:pPr>
        <w:pStyle w:val="5"/>
        <w:ind w:firstLine="480"/>
        <w:jc w:val="center"/>
        <w:rPr>
          <w:rFonts w:hint="eastAsia"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5</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w:t>
      </w:r>
      <w:r>
        <w:rPr>
          <w:rFonts w:hint="eastAsia" w:ascii="Times New Roman" w:hAnsi="Times New Roman" w:eastAsia="黑体" w:cs="Times New Roman"/>
          <w:kern w:val="0"/>
          <w:sz w:val="28"/>
          <w:szCs w:val="24"/>
        </w:rPr>
        <w:t>智能汽车基础地图相关标准</w:t>
      </w:r>
      <w:r>
        <w:rPr>
          <w:rFonts w:hint="eastAsia" w:ascii="Times New Roman" w:hAnsi="Times New Roman" w:eastAsia="黑体" w:cs="Times New Roman"/>
          <w:kern w:val="0"/>
          <w:sz w:val="28"/>
          <w:szCs w:val="24"/>
          <w:lang w:val="en-US" w:eastAsia="zh-CN"/>
        </w:rPr>
        <w:t>分析（部分）</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047"/>
        <w:gridCol w:w="1376"/>
        <w:gridCol w:w="4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64"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b/>
                <w:bCs w:val="0"/>
                <w:kern w:val="0"/>
                <w:sz w:val="24"/>
                <w:szCs w:val="24"/>
              </w:rPr>
            </w:pPr>
            <w:r>
              <w:rPr>
                <w:rFonts w:hint="eastAsia" w:ascii="Times New Roman" w:hAnsi="Times New Roman" w:cs="宋体"/>
                <w:b/>
                <w:bCs w:val="0"/>
                <w:kern w:val="0"/>
                <w:sz w:val="24"/>
                <w:szCs w:val="24"/>
              </w:rPr>
              <w:t>序号</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b/>
                <w:bCs w:val="0"/>
                <w:kern w:val="0"/>
                <w:sz w:val="24"/>
                <w:szCs w:val="24"/>
              </w:rPr>
            </w:pPr>
            <w:r>
              <w:rPr>
                <w:rFonts w:hint="eastAsia" w:ascii="Times New Roman" w:hAnsi="Times New Roman" w:cs="宋体"/>
                <w:b/>
                <w:bCs w:val="0"/>
                <w:kern w:val="0"/>
                <w:sz w:val="24"/>
                <w:szCs w:val="24"/>
              </w:rPr>
              <w:t>标准名称</w:t>
            </w: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b/>
                <w:bCs w:val="0"/>
                <w:kern w:val="0"/>
                <w:sz w:val="24"/>
                <w:szCs w:val="24"/>
              </w:rPr>
            </w:pPr>
            <w:r>
              <w:rPr>
                <w:rFonts w:hint="eastAsia" w:ascii="Times New Roman" w:hAnsi="Times New Roman" w:cs="宋体"/>
                <w:b/>
                <w:bCs w:val="0"/>
                <w:kern w:val="0"/>
                <w:sz w:val="24"/>
                <w:szCs w:val="24"/>
              </w:rPr>
              <w:t>标准类型/标准号</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b/>
                <w:bCs w:val="0"/>
                <w:kern w:val="0"/>
                <w:sz w:val="24"/>
                <w:szCs w:val="24"/>
              </w:rPr>
            </w:pPr>
            <w:r>
              <w:rPr>
                <w:rFonts w:hint="eastAsia" w:ascii="Times New Roman" w:hAnsi="Times New Roman" w:cs="宋体"/>
                <w:b/>
                <w:bCs w:val="0"/>
                <w:kern w:val="0"/>
                <w:sz w:val="24"/>
                <w:szCs w:val="24"/>
              </w:rPr>
              <w:t>标准主要内容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b/>
                <w:kern w:val="0"/>
                <w:sz w:val="24"/>
                <w:szCs w:val="24"/>
              </w:rPr>
            </w:pPr>
          </w:p>
        </w:tc>
        <w:tc>
          <w:tcPr>
            <w:tcW w:w="4535"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b/>
                <w:kern w:val="0"/>
                <w:sz w:val="24"/>
                <w:szCs w:val="24"/>
              </w:rPr>
            </w:pPr>
            <w:r>
              <w:rPr>
                <w:rFonts w:hint="eastAsia" w:ascii="Times New Roman" w:hAnsi="Times New Roman" w:cs="宋体"/>
                <w:b/>
                <w:kern w:val="0"/>
                <w:sz w:val="24"/>
                <w:szCs w:val="24"/>
              </w:rPr>
              <w:t>《国家车联网产业标准体系建设指南（智能交通相关）》相关标准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宋体" w:hAnsi="宋体" w:cs="宋体"/>
                <w:kern w:val="0"/>
                <w:sz w:val="24"/>
                <w:szCs w:val="24"/>
              </w:rPr>
              <w:t>1</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智能运输系统 通用术语</w:t>
            </w: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GB/T 20839-2007</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color w:val="000000"/>
                <w:kern w:val="0"/>
                <w:sz w:val="24"/>
                <w:szCs w:val="24"/>
              </w:rPr>
            </w:pPr>
            <w:r>
              <w:rPr>
                <w:rFonts w:hint="eastAsia" w:ascii="Times New Roman" w:hAnsi="Times New Roman" w:cs="宋体"/>
                <w:color w:val="000000"/>
                <w:kern w:val="0"/>
                <w:sz w:val="24"/>
                <w:szCs w:val="24"/>
              </w:rPr>
              <w:t>规定了智能运输系统领域中通用术语，适用于智能运输系统及其相关领域的信息服务、信息处理和信息交换。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2</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公路工程适应自动驾驶公路附属设施总体技术规范</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行标</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kern w:val="0"/>
                <w:sz w:val="24"/>
                <w:szCs w:val="24"/>
              </w:rPr>
            </w:pPr>
            <w:r>
              <w:rPr>
                <w:rFonts w:hint="eastAsia" w:ascii="Times New Roman" w:hAnsi="Times New Roman" w:cs="宋体"/>
                <w:kern w:val="0"/>
                <w:sz w:val="24"/>
                <w:szCs w:val="24"/>
              </w:rPr>
              <w:t>该规范征求意见稿规定了公路工程适应自动驾驶附属设施的总体技术要求，分为13个章节和3个附录，包括总则、术语与缩略语、总体架构、高精度地图、定位设施、通信设施、交通标志标线、交通控制与诱导设施、交通感知设施、路侧计算设施、供能与照明设施、自动驾驶监测与服务中心、网络安全，并附录了高精度地图动态数据图层接口参数、典型车路协同应用、自动驾驶监测与服务中心资源配置参考等内容，对公路工程适应自动驾驶附属设施提出了总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3</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自动驾驶封闭测试场地建设技术要求</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eastAsia" w:ascii="Times New Roman" w:hAnsi="Times New Roman" w:cs="宋体"/>
                <w:kern w:val="0"/>
                <w:sz w:val="24"/>
                <w:szCs w:val="24"/>
              </w:rPr>
            </w:pPr>
            <w:r>
              <w:rPr>
                <w:rFonts w:hint="eastAsia" w:ascii="Times New Roman" w:hAnsi="Times New Roman" w:cs="宋体"/>
                <w:kern w:val="0"/>
                <w:sz w:val="24"/>
                <w:szCs w:val="24"/>
              </w:rPr>
              <w:t>GB/T 43119-2023</w:t>
            </w:r>
          </w:p>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kern w:val="0"/>
                <w:sz w:val="24"/>
                <w:szCs w:val="24"/>
              </w:rPr>
            </w:pPr>
            <w:r>
              <w:rPr>
                <w:rFonts w:hint="eastAsia" w:ascii="Times New Roman" w:hAnsi="Times New Roman" w:cs="宋体"/>
                <w:kern w:val="0"/>
                <w:sz w:val="24"/>
                <w:szCs w:val="24"/>
              </w:rPr>
              <w:t>查到团体标准T/CMAX 116-02-2018《自动驾驶车辆封闭测试场地技术要求》。该标准规定了自动驾驶车辆封闭测试场地所包含的测试训练场地、能力评估场地和配套办公及服务设施等技术要求。适用于自动驾驶车辆研发测试训练所需要的测试训练场地与道路测试能力评估所需的能力评估场地建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4</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智能运输系统 智能驾驶电子地图数据模型与交换格式 第一部分：高速公路</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国标</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Times New Roman" w:hAnsi="Times New Roman" w:cs="宋体"/>
                <w:kern w:val="0"/>
                <w:sz w:val="24"/>
                <w:szCs w:val="24"/>
              </w:rPr>
            </w:pPr>
            <w:r>
              <w:rPr>
                <w:rFonts w:hint="eastAsia" w:ascii="Times New Roman" w:hAnsi="Times New Roman" w:cs="宋体"/>
                <w:kern w:val="0"/>
                <w:sz w:val="24"/>
                <w:szCs w:val="24"/>
              </w:rPr>
              <w:t>本标准规定了智能驾驶电子地图中高速道路和对象的数据模型与交换格式。</w:t>
            </w:r>
          </w:p>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kern w:val="0"/>
                <w:sz w:val="24"/>
                <w:szCs w:val="24"/>
              </w:rPr>
            </w:pPr>
            <w:r>
              <w:rPr>
                <w:rFonts w:hint="eastAsia" w:ascii="Times New Roman" w:hAnsi="Times New Roman" w:cs="宋体"/>
                <w:kern w:val="0"/>
                <w:sz w:val="24"/>
                <w:szCs w:val="24"/>
              </w:rPr>
              <w:t>本标准适用于以自动驾驶地图为主要应用内容的智能导航定位产品，如自动驾驶汽车、高级辅助智能驾驶汽车、高精度车辆监控和调度等的生产和应用，以及地图厂商等。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5</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智能运输系统 智能驾驶电子地图数据模型与交换格式 第二部分：城市公路</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国标</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Times New Roman" w:hAnsi="Times New Roman" w:cs="宋体"/>
                <w:kern w:val="0"/>
                <w:sz w:val="24"/>
                <w:szCs w:val="24"/>
              </w:rPr>
            </w:pPr>
            <w:r>
              <w:rPr>
                <w:rFonts w:hint="eastAsia" w:ascii="Times New Roman" w:hAnsi="Times New Roman" w:cs="宋体"/>
                <w:kern w:val="0"/>
                <w:sz w:val="24"/>
                <w:szCs w:val="24"/>
              </w:rPr>
              <w:t>本标准规定了智能驾驶电子地图中城市道路和对象的数据模型与交换格式。</w:t>
            </w:r>
          </w:p>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kern w:val="0"/>
                <w:sz w:val="24"/>
                <w:szCs w:val="24"/>
              </w:rPr>
            </w:pPr>
            <w:r>
              <w:rPr>
                <w:rFonts w:hint="eastAsia" w:ascii="Times New Roman" w:hAnsi="Times New Roman" w:cs="宋体"/>
                <w:kern w:val="0"/>
                <w:sz w:val="24"/>
                <w:szCs w:val="24"/>
              </w:rPr>
              <w:t>本标准适用于以自动驾驶地图为主要应用内容的智能导航定位产品，如自动驾驶汽车、高级辅助智能驾驶汽车、高精度车辆监控和调度等的生产和应用，以及地图厂商等。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6</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电子公路图地理要素高精度表达规范</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国标</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Times New Roman" w:hAnsi="Times New Roman" w:cs="宋体"/>
                <w:color w:val="000000"/>
                <w:kern w:val="0"/>
                <w:sz w:val="24"/>
                <w:szCs w:val="24"/>
              </w:rPr>
            </w:pPr>
            <w:r>
              <w:rPr>
                <w:rFonts w:hint="eastAsia" w:ascii="Times New Roman" w:hAnsi="Times New Roman" w:cs="宋体"/>
                <w:color w:val="000000"/>
                <w:kern w:val="0"/>
                <w:sz w:val="24"/>
                <w:szCs w:val="24"/>
              </w:rPr>
              <w:t>本标准规定了电子公路图地理要素的高精度表达基本要求、选择与分类以及其表达规范。</w:t>
            </w:r>
          </w:p>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color w:val="000000"/>
                <w:kern w:val="0"/>
                <w:sz w:val="24"/>
                <w:szCs w:val="24"/>
              </w:rPr>
            </w:pPr>
            <w:r>
              <w:rPr>
                <w:rFonts w:hint="eastAsia" w:ascii="Times New Roman" w:hAnsi="Times New Roman" w:cs="宋体"/>
                <w:color w:val="000000"/>
                <w:kern w:val="0"/>
                <w:sz w:val="24"/>
                <w:szCs w:val="24"/>
              </w:rPr>
              <w:t>本标准适用于高精度公路地理信息系统的开发、公路高精度导航地图的生产、公路管理部门和地图厂商间高精度地理信息的有效共享。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cs="宋体"/>
                <w:kern w:val="0"/>
                <w:sz w:val="24"/>
                <w:szCs w:val="24"/>
              </w:rPr>
            </w:pPr>
          </w:p>
        </w:tc>
        <w:tc>
          <w:tcPr>
            <w:tcW w:w="4535"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b/>
                <w:kern w:val="0"/>
                <w:sz w:val="24"/>
                <w:szCs w:val="24"/>
              </w:rPr>
            </w:pPr>
            <w:r>
              <w:rPr>
                <w:rFonts w:hint="eastAsia" w:ascii="Times New Roman" w:hAnsi="Times New Roman" w:cs="宋体"/>
                <w:b/>
                <w:kern w:val="0"/>
                <w:sz w:val="24"/>
                <w:szCs w:val="24"/>
              </w:rPr>
              <w:t>道路高精度电子导航相关标准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7</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default" w:ascii="宋体" w:hAnsi="宋体" w:cs="宋体"/>
                <w:kern w:val="0"/>
                <w:sz w:val="24"/>
                <w:szCs w:val="24"/>
              </w:rPr>
              <w:t>道路高精导航电子地图数据规范</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CH/T 4026-2023</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kern w:val="0"/>
                <w:sz w:val="24"/>
                <w:szCs w:val="24"/>
              </w:rPr>
            </w:pPr>
            <w:r>
              <w:rPr>
                <w:rFonts w:hint="eastAsia" w:ascii="Times New Roman" w:hAnsi="Times New Roman" w:cs="宋体"/>
                <w:color w:val="000000"/>
                <w:kern w:val="0"/>
                <w:sz w:val="24"/>
                <w:szCs w:val="24"/>
              </w:rPr>
              <w:t>规定了道路高精导航电子地图数据的基本规定、框架数据模型、要素内容与数据表达。适用于道路高精导航电子地图数据的组织、管理与使用。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8</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道路高精导航电子地图生产技术规范</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CH/T 4027-2023</w:t>
            </w:r>
          </w:p>
        </w:tc>
        <w:tc>
          <w:tcPr>
            <w:tcW w:w="256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rPr>
                <w:rFonts w:hint="default" w:ascii="宋体" w:hAnsi="宋体" w:cs="宋体"/>
                <w:kern w:val="0"/>
                <w:sz w:val="24"/>
                <w:szCs w:val="24"/>
              </w:rPr>
            </w:pPr>
            <w:r>
              <w:rPr>
                <w:rFonts w:hint="eastAsia" w:ascii="Times New Roman" w:hAnsi="Times New Roman" w:cs="宋体"/>
                <w:color w:val="000000"/>
                <w:kern w:val="0"/>
                <w:sz w:val="24"/>
                <w:szCs w:val="24"/>
              </w:rPr>
              <w:t>规定了道路高精电子导航地图生产的基本规定、作业流程、数据采集、数据处理、数据制图、质量控制与数据提交。适用于道路高精导航电子地图的生产。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eastAsia" w:ascii="宋体" w:hAnsi="宋体" w:eastAsia="仿宋" w:cs="宋体"/>
                <w:kern w:val="0"/>
                <w:sz w:val="24"/>
                <w:szCs w:val="24"/>
                <w:lang w:eastAsia="zh-CN"/>
              </w:rPr>
            </w:pPr>
            <w:r>
              <w:rPr>
                <w:rFonts w:hint="eastAsia" w:ascii="宋体" w:hAnsi="宋体" w:cs="宋体"/>
                <w:kern w:val="0"/>
                <w:sz w:val="24"/>
                <w:szCs w:val="24"/>
                <w:lang w:val="en-US" w:eastAsia="zh-CN"/>
              </w:rPr>
              <w:t>9</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自动驾驶地图采集要素模型与交换格式</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T/CSAE 185-2021</w:t>
            </w:r>
          </w:p>
        </w:tc>
        <w:tc>
          <w:tcPr>
            <w:tcW w:w="2563"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numPr>
                <w:ilvl w:val="0"/>
                <w:numId w:val="5"/>
              </w:numPr>
              <w:suppressLineNumbers w:val="0"/>
              <w:spacing w:before="0" w:beforeAutospacing="0" w:after="0" w:afterAutospacing="0" w:line="288" w:lineRule="auto"/>
              <w:ind w:left="0" w:right="0" w:firstLine="0" w:firstLineChars="0"/>
              <w:rPr>
                <w:rFonts w:hint="eastAsia" w:ascii="宋体" w:hAnsi="宋体" w:eastAsia="仿宋" w:cs="宋体"/>
                <w:color w:val="000000"/>
                <w:kern w:val="0"/>
                <w:sz w:val="24"/>
                <w:szCs w:val="24"/>
                <w:lang w:val="en-US" w:eastAsia="zh-CN" w:bidi="ar-SA"/>
              </w:rPr>
            </w:pPr>
            <w:r>
              <w:rPr>
                <w:rFonts w:hint="eastAsia" w:ascii="宋体" w:hAnsi="宋体" w:cs="宋体"/>
                <w:color w:val="000000"/>
                <w:kern w:val="0"/>
                <w:sz w:val="24"/>
                <w:szCs w:val="24"/>
              </w:rPr>
              <w:t>理解静态标线/</w:t>
            </w:r>
            <w:r>
              <w:rPr>
                <w:rFonts w:hint="eastAsia" w:ascii="宋体" w:hAnsi="宋体" w:cs="宋体"/>
                <w:color w:val="000000"/>
                <w:kern w:val="0"/>
                <w:sz w:val="24"/>
                <w:szCs w:val="24"/>
                <w:lang w:val="en-US" w:eastAsia="zh-CN"/>
              </w:rPr>
              <w:t>标</w:t>
            </w:r>
            <w:r>
              <w:rPr>
                <w:rFonts w:hint="eastAsia" w:ascii="宋体" w:hAnsi="宋体" w:cs="宋体"/>
                <w:color w:val="000000"/>
                <w:kern w:val="0"/>
                <w:sz w:val="24"/>
                <w:szCs w:val="24"/>
              </w:rPr>
              <w:t>志是路与车/车主建立交</w:t>
            </w:r>
            <w:r>
              <w:rPr>
                <w:rFonts w:hint="eastAsia" w:ascii="宋体" w:hAnsi="宋体" w:eastAsia="仿宋" w:cs="宋体"/>
                <w:color w:val="000000"/>
                <w:kern w:val="0"/>
                <w:sz w:val="24"/>
                <w:szCs w:val="24"/>
                <w:lang w:val="en-US" w:eastAsia="zh-CN" w:bidi="ar-SA"/>
              </w:rPr>
              <w:t>互的基础规则，如基本导航、行驶路权法定线、行驶规则等；</w:t>
            </w:r>
          </w:p>
          <w:p>
            <w:pPr>
              <w:pStyle w:val="28"/>
              <w:keepNext w:val="0"/>
              <w:keepLines w:val="0"/>
              <w:widowControl/>
              <w:numPr>
                <w:ilvl w:val="0"/>
                <w:numId w:val="5"/>
              </w:numPr>
              <w:suppressLineNumbers w:val="0"/>
              <w:spacing w:before="0" w:beforeAutospacing="0" w:after="0" w:afterAutospacing="0" w:line="288" w:lineRule="auto"/>
              <w:ind w:left="0" w:right="0" w:firstLine="0" w:firstLineChars="0"/>
              <w:rPr>
                <w:rFonts w:hint="eastAsia" w:ascii="宋体" w:hAnsi="宋体" w:eastAsia="仿宋" w:cs="宋体"/>
                <w:color w:val="000000"/>
                <w:kern w:val="0"/>
                <w:sz w:val="24"/>
                <w:szCs w:val="24"/>
                <w:lang w:val="en-US" w:eastAsia="zh-CN" w:bidi="ar-SA"/>
              </w:rPr>
            </w:pPr>
            <w:r>
              <w:rPr>
                <w:rFonts w:hint="eastAsia" w:ascii="宋体" w:hAnsi="宋体" w:eastAsia="仿宋" w:cs="宋体"/>
                <w:color w:val="000000"/>
                <w:kern w:val="0"/>
                <w:sz w:val="24"/>
                <w:szCs w:val="24"/>
                <w:lang w:val="en-US" w:eastAsia="zh-CN" w:bidi="ar-SA"/>
              </w:rPr>
              <w:t>考虑</w:t>
            </w:r>
            <w:r>
              <w:rPr>
                <w:rFonts w:hint="default" w:ascii="Times New Roman" w:hAnsi="Times New Roman" w:eastAsia="仿宋" w:cs="Times New Roman"/>
                <w:color w:val="000000"/>
                <w:kern w:val="0"/>
                <w:sz w:val="24"/>
                <w:szCs w:val="24"/>
                <w:lang w:val="en-US" w:eastAsia="zh-CN" w:bidi="ar-SA"/>
              </w:rPr>
              <w:t>到V2X方面RSU、OBU应用</w:t>
            </w:r>
            <w:r>
              <w:rPr>
                <w:rFonts w:hint="eastAsia" w:ascii="宋体" w:hAnsi="宋体" w:eastAsia="仿宋" w:cs="宋体"/>
                <w:color w:val="000000"/>
                <w:kern w:val="0"/>
                <w:sz w:val="24"/>
                <w:szCs w:val="24"/>
                <w:lang w:val="en-US" w:eastAsia="zh-CN" w:bidi="ar-SA"/>
              </w:rPr>
              <w:t>并增加智能路侧设备相关内容，是补偿单车智能强势方面，如中继载体、超视距、周边动态环境实时上帝视角等</w:t>
            </w:r>
          </w:p>
          <w:p>
            <w:pPr>
              <w:pStyle w:val="28"/>
              <w:keepNext w:val="0"/>
              <w:keepLines w:val="0"/>
              <w:widowControl/>
              <w:numPr>
                <w:ilvl w:val="0"/>
                <w:numId w:val="5"/>
              </w:numPr>
              <w:suppressLineNumbers w:val="0"/>
              <w:spacing w:before="0" w:beforeAutospacing="0" w:after="0" w:afterAutospacing="0" w:line="288" w:lineRule="auto"/>
              <w:ind w:left="0" w:right="0" w:firstLine="0" w:firstLineChars="0"/>
              <w:rPr>
                <w:rFonts w:hint="default" w:ascii="宋体" w:hAnsi="宋体" w:cs="宋体"/>
                <w:color w:val="000000"/>
                <w:kern w:val="0"/>
                <w:sz w:val="24"/>
                <w:szCs w:val="24"/>
              </w:rPr>
            </w:pPr>
            <w:r>
              <w:rPr>
                <w:rFonts w:hint="eastAsia" w:ascii="宋体" w:hAnsi="宋体" w:cs="宋体"/>
                <w:color w:val="000000"/>
                <w:kern w:val="0"/>
                <w:sz w:val="24"/>
                <w:szCs w:val="24"/>
              </w:rPr>
              <w:t>明确定义几何相对精度及相对高</w:t>
            </w:r>
            <w:r>
              <w:rPr>
                <w:rFonts w:hint="eastAsia" w:ascii="宋体" w:hAnsi="宋体" w:cs="宋体"/>
                <w:color w:val="000000"/>
                <w:kern w:val="0"/>
                <w:sz w:val="24"/>
                <w:szCs w:val="24"/>
                <w:lang w:val="en-US" w:eastAsia="zh-CN"/>
              </w:rPr>
              <w:t>度</w:t>
            </w:r>
            <w:r>
              <w:rPr>
                <w:rFonts w:hint="eastAsia" w:ascii="宋体" w:hAnsi="宋体" w:cs="宋体"/>
                <w:color w:val="000000"/>
                <w:kern w:val="0"/>
                <w:sz w:val="24"/>
                <w:szCs w:val="24"/>
              </w:rPr>
              <w:t>要求、时空</w:t>
            </w:r>
            <w:r>
              <w:rPr>
                <w:rFonts w:hint="eastAsia" w:ascii="宋体" w:hAnsi="宋体" w:cs="宋体"/>
                <w:color w:val="000000"/>
                <w:kern w:val="0"/>
                <w:sz w:val="24"/>
                <w:szCs w:val="24"/>
                <w:lang w:val="en-US" w:eastAsia="zh-CN"/>
              </w:rPr>
              <w:t>参考</w:t>
            </w:r>
            <w:r>
              <w:rPr>
                <w:rFonts w:hint="eastAsia" w:ascii="宋体" w:hAnsi="宋体" w:cs="宋体"/>
                <w:color w:val="000000"/>
                <w:kern w:val="0"/>
                <w:sz w:val="24"/>
                <w:szCs w:val="24"/>
              </w:rPr>
              <w:t>系、数据组织方式等；</w:t>
            </w:r>
          </w:p>
          <w:p>
            <w:pPr>
              <w:pStyle w:val="28"/>
              <w:keepNext w:val="0"/>
              <w:keepLines w:val="0"/>
              <w:widowControl/>
              <w:numPr>
                <w:ilvl w:val="0"/>
                <w:numId w:val="5"/>
              </w:numPr>
              <w:suppressLineNumbers w:val="0"/>
              <w:spacing w:before="0" w:beforeAutospacing="0" w:after="0" w:afterAutospacing="0" w:line="288" w:lineRule="auto"/>
              <w:ind w:left="0" w:right="0" w:firstLine="0" w:firstLineChars="0"/>
              <w:rPr>
                <w:rFonts w:hint="default" w:ascii="宋体" w:hAnsi="宋体" w:cs="宋体"/>
                <w:color w:val="000000"/>
                <w:kern w:val="0"/>
                <w:sz w:val="24"/>
                <w:szCs w:val="24"/>
              </w:rPr>
            </w:pPr>
            <w:r>
              <w:rPr>
                <w:rFonts w:hint="eastAsia" w:ascii="宋体" w:hAnsi="宋体" w:cs="宋体"/>
                <w:color w:val="000000"/>
                <w:kern w:val="0"/>
                <w:sz w:val="24"/>
                <w:szCs w:val="24"/>
              </w:rPr>
              <w:t>要素按基本信息层/道路交通标志层/道路交通标线层/其他道路安全设施物层/智能路侧设备层归类；</w:t>
            </w:r>
          </w:p>
          <w:p>
            <w:pPr>
              <w:pStyle w:val="28"/>
              <w:keepNext w:val="0"/>
              <w:keepLines w:val="0"/>
              <w:widowControl/>
              <w:numPr>
                <w:ilvl w:val="0"/>
                <w:numId w:val="5"/>
              </w:numPr>
              <w:suppressLineNumbers w:val="0"/>
              <w:spacing w:before="0" w:beforeAutospacing="0" w:after="0" w:afterAutospacing="0" w:line="288" w:lineRule="auto"/>
              <w:ind w:left="0" w:right="0" w:firstLine="0" w:firstLineChars="0"/>
              <w:rPr>
                <w:rFonts w:hint="default" w:ascii="宋体" w:hAnsi="宋体" w:cs="宋体"/>
                <w:color w:val="000000"/>
                <w:kern w:val="0"/>
                <w:sz w:val="24"/>
                <w:szCs w:val="24"/>
              </w:rPr>
            </w:pPr>
            <w:r>
              <w:rPr>
                <w:rFonts w:hint="eastAsia" w:ascii="宋体" w:hAnsi="宋体" w:cs="宋体"/>
                <w:color w:val="000000"/>
                <w:kern w:val="0"/>
                <w:sz w:val="24"/>
                <w:szCs w:val="24"/>
              </w:rPr>
              <w:t>兼顾要素无法完全穷举的情形及应用场景的扩展，增加扩展与自定义方面的要求与原则。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adjustRightInd w:val="0"/>
              <w:spacing w:before="0" w:beforeAutospacing="0" w:after="0" w:afterAutospacing="0" w:line="288" w:lineRule="auto"/>
              <w:ind w:left="0" w:right="0" w:firstLine="0" w:firstLineChars="0"/>
              <w:jc w:val="center"/>
              <w:rPr>
                <w:rFonts w:hint="default" w:ascii="宋体" w:hAnsi="宋体" w:eastAsia="仿宋" w:cs="宋体"/>
                <w:kern w:val="0"/>
                <w:sz w:val="24"/>
                <w:szCs w:val="24"/>
                <w:lang w:val="en-US" w:eastAsia="zh-CN"/>
              </w:rPr>
            </w:pPr>
            <w:r>
              <w:rPr>
                <w:rFonts w:hint="eastAsia" w:ascii="宋体" w:hAnsi="宋体" w:cs="宋体"/>
                <w:kern w:val="0"/>
                <w:sz w:val="24"/>
                <w:szCs w:val="24"/>
                <w:lang w:val="en-US" w:eastAsia="zh-CN"/>
              </w:rPr>
              <w:t>10</w:t>
            </w:r>
          </w:p>
        </w:tc>
        <w:tc>
          <w:tcPr>
            <w:tcW w:w="122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eastAsia" w:ascii="Times New Roman" w:hAnsi="Times New Roman" w:cs="宋体"/>
                <w:kern w:val="0"/>
                <w:sz w:val="24"/>
                <w:szCs w:val="24"/>
              </w:rPr>
            </w:pPr>
            <w:r>
              <w:rPr>
                <w:rFonts w:hint="eastAsia" w:ascii="Times New Roman" w:hAnsi="Times New Roman" w:cs="宋体"/>
                <w:kern w:val="0"/>
                <w:sz w:val="24"/>
                <w:szCs w:val="24"/>
              </w:rPr>
              <w:tab/>
            </w:r>
          </w:p>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自动驾驶地图特征定位数据技术规范</w:t>
            </w:r>
          </w:p>
        </w:tc>
        <w:tc>
          <w:tcPr>
            <w:tcW w:w="751"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8" w:lineRule="auto"/>
              <w:ind w:left="0" w:right="0" w:firstLine="0" w:firstLineChars="0"/>
              <w:jc w:val="center"/>
              <w:rPr>
                <w:rFonts w:hint="default" w:ascii="宋体" w:hAnsi="宋体" w:cs="宋体"/>
                <w:kern w:val="0"/>
                <w:sz w:val="24"/>
                <w:szCs w:val="24"/>
              </w:rPr>
            </w:pPr>
            <w:r>
              <w:rPr>
                <w:rFonts w:hint="eastAsia" w:ascii="Times New Roman" w:hAnsi="Times New Roman" w:cs="宋体"/>
                <w:kern w:val="0"/>
                <w:sz w:val="24"/>
                <w:szCs w:val="24"/>
              </w:rPr>
              <w:t>DB11/T 1880-2021</w:t>
            </w:r>
          </w:p>
        </w:tc>
        <w:tc>
          <w:tcPr>
            <w:tcW w:w="2563" w:type="pct"/>
            <w:tcBorders>
              <w:top w:val="single" w:color="auto" w:sz="4" w:space="0"/>
              <w:left w:val="single" w:color="auto" w:sz="4" w:space="0"/>
              <w:bottom w:val="single" w:color="auto" w:sz="4" w:space="0"/>
              <w:right w:val="single" w:color="auto" w:sz="4" w:space="0"/>
            </w:tcBorders>
            <w:vAlign w:val="center"/>
          </w:tcPr>
          <w:p>
            <w:pPr>
              <w:pStyle w:val="28"/>
              <w:keepNext w:val="0"/>
              <w:keepLines w:val="0"/>
              <w:widowControl/>
              <w:suppressLineNumbers w:val="0"/>
              <w:spacing w:before="0" w:beforeAutospacing="0" w:after="0" w:afterAutospacing="0" w:line="288" w:lineRule="auto"/>
              <w:ind w:left="0" w:right="0" w:firstLine="0" w:firstLineChars="0"/>
              <w:rPr>
                <w:rFonts w:hint="default" w:ascii="宋体" w:hAnsi="宋体" w:cs="宋体"/>
                <w:color w:val="000000"/>
                <w:kern w:val="0"/>
                <w:sz w:val="24"/>
                <w:szCs w:val="24"/>
              </w:rPr>
            </w:pPr>
            <w:r>
              <w:rPr>
                <w:rFonts w:hint="eastAsia" w:ascii="宋体" w:hAnsi="宋体" w:cs="宋体"/>
                <w:color w:val="000000"/>
                <w:kern w:val="0"/>
                <w:sz w:val="24"/>
                <w:szCs w:val="24"/>
              </w:rPr>
              <w:t>本文件规范了自动驾驶高精度地图特征定位数据的建立。适用于自动驾驶高精度地图特征定位数据的生产和测试。</w:t>
            </w:r>
          </w:p>
        </w:tc>
      </w:tr>
    </w:tbl>
    <w:p>
      <w:pPr>
        <w:bidi w:val="0"/>
        <w:rPr>
          <w:rFonts w:hint="eastAsia" w:ascii="Times New Roman" w:hAnsi="Times New Roman"/>
          <w:sz w:val="24"/>
          <w:szCs w:val="24"/>
          <w:lang w:val="en-US" w:eastAsia="zh-CN"/>
        </w:rPr>
      </w:pPr>
      <w:r>
        <w:rPr>
          <w:rFonts w:hint="eastAsia"/>
          <w:sz w:val="24"/>
          <w:szCs w:val="24"/>
          <w:lang w:val="en-US" w:eastAsia="zh-CN"/>
        </w:rPr>
        <w:t>在具体标准中，</w:t>
      </w:r>
      <w:r>
        <w:rPr>
          <w:rFonts w:hint="eastAsia" w:ascii="Times New Roman" w:hAnsi="Times New Roman"/>
          <w:sz w:val="24"/>
          <w:szCs w:val="24"/>
          <w:lang w:val="en-US" w:eastAsia="zh-CN"/>
        </w:rPr>
        <w:t>《智能</w:t>
      </w:r>
      <w:r>
        <w:rPr>
          <w:rFonts w:hint="eastAsia"/>
          <w:sz w:val="24"/>
          <w:szCs w:val="24"/>
          <w:lang w:val="en-US" w:eastAsia="zh-CN"/>
        </w:rPr>
        <w:t>汽车</w:t>
      </w:r>
      <w:r>
        <w:rPr>
          <w:rFonts w:hint="eastAsia" w:ascii="Times New Roman" w:hAnsi="Times New Roman"/>
          <w:sz w:val="24"/>
          <w:szCs w:val="24"/>
          <w:lang w:val="en-US" w:eastAsia="zh-CN"/>
        </w:rPr>
        <w:t>高精地图</w:t>
      </w:r>
      <w:r>
        <w:rPr>
          <w:rFonts w:hint="eastAsia"/>
          <w:sz w:val="24"/>
          <w:szCs w:val="24"/>
          <w:lang w:val="en-US" w:eastAsia="zh-CN"/>
        </w:rPr>
        <w:t>框架</w:t>
      </w:r>
      <w:r>
        <w:rPr>
          <w:rFonts w:hint="eastAsia" w:ascii="Times New Roman" w:hAnsi="Times New Roman"/>
          <w:sz w:val="24"/>
          <w:szCs w:val="24"/>
          <w:lang w:val="en-US" w:eastAsia="zh-CN"/>
        </w:rPr>
        <w:t>模型》</w:t>
      </w:r>
      <w:r>
        <w:rPr>
          <w:rFonts w:hint="eastAsia"/>
          <w:sz w:val="24"/>
          <w:szCs w:val="24"/>
          <w:lang w:val="en-US" w:eastAsia="zh-CN"/>
        </w:rPr>
        <w:t>标准</w:t>
      </w:r>
      <w:r>
        <w:rPr>
          <w:rFonts w:hint="eastAsia" w:ascii="Times New Roman" w:hAnsi="Times New Roman"/>
          <w:sz w:val="24"/>
          <w:szCs w:val="24"/>
          <w:lang w:val="en-US" w:eastAsia="zh-CN"/>
        </w:rPr>
        <w:t>从智能驾驶任务驱动的角度出发，充分考虑人</w:t>
      </w:r>
      <w:r>
        <w:rPr>
          <w:rFonts w:hint="eastAsia"/>
          <w:sz w:val="24"/>
          <w:szCs w:val="24"/>
          <w:lang w:val="en-US" w:eastAsia="zh-CN"/>
        </w:rPr>
        <w:t>、</w:t>
      </w:r>
      <w:r>
        <w:rPr>
          <w:rFonts w:hint="eastAsia" w:ascii="Times New Roman" w:hAnsi="Times New Roman"/>
          <w:sz w:val="24"/>
          <w:szCs w:val="24"/>
          <w:lang w:val="en-US" w:eastAsia="zh-CN"/>
        </w:rPr>
        <w:t>车</w:t>
      </w:r>
      <w:r>
        <w:rPr>
          <w:rFonts w:hint="eastAsia"/>
          <w:sz w:val="24"/>
          <w:szCs w:val="24"/>
          <w:lang w:val="en-US" w:eastAsia="zh-CN"/>
        </w:rPr>
        <w:t>、</w:t>
      </w:r>
      <w:r>
        <w:rPr>
          <w:rFonts w:hint="eastAsia" w:ascii="Times New Roman" w:hAnsi="Times New Roman"/>
          <w:sz w:val="24"/>
          <w:szCs w:val="24"/>
          <w:lang w:val="en-US" w:eastAsia="zh-CN"/>
        </w:rPr>
        <w:t>路三大主体，</w:t>
      </w:r>
      <w:r>
        <w:rPr>
          <w:rFonts w:hint="eastAsia"/>
          <w:sz w:val="24"/>
          <w:szCs w:val="24"/>
          <w:lang w:val="en-US" w:eastAsia="zh-CN"/>
        </w:rPr>
        <w:t>构建了以</w:t>
      </w:r>
      <w:r>
        <w:rPr>
          <w:rFonts w:hint="eastAsia" w:ascii="Times New Roman" w:hAnsi="Times New Roman"/>
          <w:b/>
          <w:bCs/>
          <w:sz w:val="24"/>
          <w:szCs w:val="24"/>
          <w:lang w:val="en-US" w:eastAsia="zh-CN"/>
        </w:rPr>
        <w:t>道路静态数据包、道路实时数据包、车辆动态数据包</w:t>
      </w:r>
      <w:r>
        <w:rPr>
          <w:rFonts w:hint="eastAsia" w:ascii="Times New Roman" w:hAnsi="Times New Roman"/>
          <w:sz w:val="24"/>
          <w:szCs w:val="24"/>
          <w:lang w:val="en-US" w:eastAsia="zh-CN"/>
        </w:rPr>
        <w:t>和</w:t>
      </w:r>
      <w:r>
        <w:rPr>
          <w:rFonts w:hint="eastAsia" w:ascii="Times New Roman" w:hAnsi="Times New Roman"/>
          <w:b/>
          <w:bCs/>
          <w:sz w:val="24"/>
          <w:szCs w:val="24"/>
          <w:lang w:val="en-US" w:eastAsia="zh-CN"/>
        </w:rPr>
        <w:t>用户数据包</w:t>
      </w:r>
      <w:r>
        <w:rPr>
          <w:rFonts w:hint="eastAsia"/>
          <w:sz w:val="24"/>
          <w:szCs w:val="24"/>
          <w:lang w:val="en-US" w:eastAsia="zh-CN"/>
        </w:rPr>
        <w:t>4类为主体的</w:t>
      </w:r>
      <w:r>
        <w:rPr>
          <w:rFonts w:hint="eastAsia" w:ascii="Times New Roman" w:hAnsi="Times New Roman"/>
          <w:sz w:val="24"/>
          <w:szCs w:val="24"/>
          <w:lang w:val="en-US" w:eastAsia="zh-CN"/>
        </w:rPr>
        <w:t>高精地图的数据包。</w:t>
      </w:r>
    </w:p>
    <w:p>
      <w:pPr>
        <w:bidi w:val="0"/>
        <w:rPr>
          <w:rFonts w:hint="eastAsia" w:ascii="Times New Roman" w:hAnsi="Times New Roman"/>
          <w:sz w:val="28"/>
          <w:szCs w:val="28"/>
          <w:highlight w:val="none"/>
          <w:lang w:val="en-US" w:eastAsia="zh-CN"/>
        </w:rPr>
      </w:pPr>
      <w:r>
        <w:rPr>
          <w:rFonts w:hint="eastAsia"/>
          <w:sz w:val="28"/>
          <w:szCs w:val="28"/>
          <w:lang w:val="en-US" w:eastAsia="zh-CN"/>
        </w:rPr>
        <w:t>智能汽车基础地图主要是给智能驾驶任务的承担者——车辆使用。考虑到与相关政策、标准的协调一致，经过要素的对比分析、综合取舍，本标准中</w:t>
      </w:r>
      <w:r>
        <w:rPr>
          <w:rFonts w:hint="eastAsia" w:ascii="Times New Roman" w:hAnsi="Times New Roman"/>
          <w:sz w:val="28"/>
          <w:szCs w:val="28"/>
          <w:lang w:val="en-US" w:eastAsia="zh-CN"/>
        </w:rPr>
        <w:t>将大类分为</w:t>
      </w:r>
      <w:r>
        <w:rPr>
          <w:rFonts w:hint="eastAsia" w:ascii="Times New Roman" w:hAnsi="Times New Roman"/>
          <w:b/>
          <w:bCs/>
          <w:sz w:val="28"/>
          <w:szCs w:val="28"/>
          <w:lang w:val="en-US" w:eastAsia="zh-CN"/>
        </w:rPr>
        <w:t>道路静态要素、道路实时要素、</w:t>
      </w:r>
      <w:r>
        <w:rPr>
          <w:rFonts w:hint="eastAsia" w:ascii="Times New Roman" w:hAnsi="Times New Roman"/>
          <w:b/>
          <w:bCs/>
          <w:sz w:val="28"/>
          <w:szCs w:val="28"/>
          <w:highlight w:val="none"/>
          <w:lang w:val="en-US" w:eastAsia="zh-CN"/>
        </w:rPr>
        <w:t>车辆感知要素</w:t>
      </w:r>
      <w:r>
        <w:rPr>
          <w:rFonts w:hint="eastAsia" w:ascii="Times New Roman" w:hAnsi="Times New Roman"/>
          <w:sz w:val="28"/>
          <w:szCs w:val="28"/>
          <w:highlight w:val="none"/>
          <w:lang w:val="en-US" w:eastAsia="zh-CN"/>
        </w:rPr>
        <w:t>3</w:t>
      </w:r>
      <w:r>
        <w:rPr>
          <w:rFonts w:hint="eastAsia"/>
          <w:sz w:val="28"/>
          <w:szCs w:val="28"/>
          <w:highlight w:val="none"/>
          <w:lang w:val="en-US" w:eastAsia="zh-CN"/>
        </w:rPr>
        <w:t>个大</w:t>
      </w:r>
      <w:r>
        <w:rPr>
          <w:rFonts w:hint="eastAsia" w:ascii="Times New Roman" w:hAnsi="Times New Roman"/>
          <w:sz w:val="28"/>
          <w:szCs w:val="28"/>
          <w:highlight w:val="none"/>
          <w:lang w:val="en-US" w:eastAsia="zh-CN"/>
        </w:rPr>
        <w:t>类。</w:t>
      </w:r>
    </w:p>
    <w:p>
      <w:pPr>
        <w:outlineLvl w:val="4"/>
        <w:rPr>
          <w:rFonts w:hint="default" w:ascii="Times New Roman" w:hAnsi="Times New Roman"/>
          <w:b/>
          <w:bCs/>
          <w:sz w:val="28"/>
          <w:szCs w:val="28"/>
          <w:lang w:val="en-US" w:eastAsia="zh-CN"/>
        </w:rPr>
      </w:pPr>
      <w:r>
        <w:rPr>
          <w:rFonts w:hint="eastAsia"/>
          <w:b/>
          <w:bCs/>
          <w:sz w:val="28"/>
          <w:szCs w:val="28"/>
          <w:lang w:val="en-US" w:eastAsia="zh-CN"/>
        </w:rPr>
        <w:t>（</w:t>
      </w:r>
      <w:r>
        <w:rPr>
          <w:rFonts w:hint="eastAsia" w:ascii="Times New Roman" w:hAnsi="Times New Roman"/>
          <w:b/>
          <w:bCs/>
          <w:sz w:val="28"/>
          <w:szCs w:val="28"/>
          <w:lang w:val="en-US" w:eastAsia="zh-CN"/>
        </w:rPr>
        <w:t>2）中类</w:t>
      </w:r>
    </w:p>
    <w:p>
      <w:pPr>
        <w:bidi w:val="0"/>
        <w:rPr>
          <w:rFonts w:hint="eastAsia" w:ascii="Times New Roman" w:hAnsi="Times New Roman"/>
          <w:sz w:val="28"/>
          <w:szCs w:val="28"/>
          <w:lang w:val="en-US" w:eastAsia="zh-CN"/>
        </w:rPr>
      </w:pPr>
      <w:r>
        <w:rPr>
          <w:rFonts w:hint="eastAsia"/>
          <w:sz w:val="28"/>
          <w:szCs w:val="28"/>
          <w:lang w:val="en-US" w:eastAsia="zh-CN"/>
        </w:rPr>
        <w:t>在3个</w:t>
      </w:r>
      <w:r>
        <w:rPr>
          <w:rFonts w:hint="default" w:ascii="Times New Roman" w:hAnsi="Times New Roman"/>
          <w:sz w:val="28"/>
          <w:szCs w:val="28"/>
          <w:lang w:val="en-US" w:eastAsia="zh-CN"/>
        </w:rPr>
        <w:t>大类基础</w:t>
      </w:r>
      <w:r>
        <w:rPr>
          <w:rFonts w:hint="eastAsia"/>
          <w:sz w:val="28"/>
          <w:szCs w:val="28"/>
          <w:lang w:val="en-US" w:eastAsia="zh-CN"/>
        </w:rPr>
        <w:t>上，分</w:t>
      </w:r>
      <w:r>
        <w:rPr>
          <w:rFonts w:hint="eastAsia"/>
          <w:sz w:val="28"/>
          <w:szCs w:val="28"/>
          <w:highlight w:val="none"/>
          <w:lang w:val="en-US" w:eastAsia="zh-CN"/>
        </w:rPr>
        <w:t>析梳理CH/T 4026—2023</w:t>
      </w:r>
      <w:r>
        <w:rPr>
          <w:rFonts w:hint="default" w:ascii="Times New Roman" w:hAnsi="Times New Roman"/>
          <w:sz w:val="28"/>
          <w:szCs w:val="28"/>
          <w:highlight w:val="none"/>
          <w:lang w:val="en-US" w:eastAsia="zh-CN"/>
        </w:rPr>
        <w:t>《道路高精导航电子地图数据规范》</w:t>
      </w:r>
      <w:r>
        <w:rPr>
          <w:rFonts w:hint="eastAsia" w:ascii="Times New Roman" w:hAnsi="Times New Roman"/>
          <w:sz w:val="28"/>
          <w:szCs w:val="28"/>
          <w:highlight w:val="none"/>
          <w:lang w:val="en-US" w:eastAsia="zh-CN"/>
        </w:rPr>
        <w:t>《智能</w:t>
      </w:r>
      <w:r>
        <w:rPr>
          <w:rFonts w:hint="eastAsia"/>
          <w:sz w:val="28"/>
          <w:szCs w:val="28"/>
          <w:highlight w:val="none"/>
          <w:lang w:val="en-US" w:eastAsia="zh-CN"/>
        </w:rPr>
        <w:t>汽车</w:t>
      </w:r>
      <w:r>
        <w:rPr>
          <w:rFonts w:hint="eastAsia" w:ascii="Times New Roman" w:hAnsi="Times New Roman"/>
          <w:sz w:val="28"/>
          <w:szCs w:val="28"/>
          <w:highlight w:val="none"/>
          <w:lang w:val="en-US" w:eastAsia="zh-CN"/>
        </w:rPr>
        <w:t>高精地图</w:t>
      </w:r>
      <w:r>
        <w:rPr>
          <w:rFonts w:hint="eastAsia"/>
          <w:sz w:val="28"/>
          <w:szCs w:val="28"/>
          <w:highlight w:val="none"/>
          <w:lang w:val="en-US" w:eastAsia="zh-CN"/>
        </w:rPr>
        <w:t>框架</w:t>
      </w:r>
      <w:r>
        <w:rPr>
          <w:rFonts w:hint="eastAsia" w:ascii="Times New Roman" w:hAnsi="Times New Roman"/>
          <w:sz w:val="28"/>
          <w:szCs w:val="28"/>
          <w:highlight w:val="none"/>
          <w:lang w:val="en-US" w:eastAsia="zh-CN"/>
        </w:rPr>
        <w:t>模型》</w:t>
      </w:r>
      <w:r>
        <w:rPr>
          <w:rFonts w:hint="eastAsia"/>
          <w:sz w:val="28"/>
          <w:szCs w:val="28"/>
          <w:highlight w:val="none"/>
          <w:lang w:val="en-US" w:eastAsia="zh-CN"/>
        </w:rPr>
        <w:t>等</w:t>
      </w:r>
      <w:r>
        <w:rPr>
          <w:rFonts w:hint="eastAsia"/>
          <w:sz w:val="28"/>
          <w:szCs w:val="28"/>
          <w:lang w:val="en-US" w:eastAsia="zh-CN"/>
        </w:rPr>
        <w:t>标准的地图要素，结合</w:t>
      </w:r>
      <w:r>
        <w:rPr>
          <w:rFonts w:hint="eastAsia"/>
          <w:sz w:val="28"/>
          <w:szCs w:val="28"/>
          <w:highlight w:val="none"/>
          <w:lang w:val="en-US" w:eastAsia="zh-CN"/>
        </w:rPr>
        <w:t>《</w:t>
      </w:r>
      <w:r>
        <w:rPr>
          <w:rFonts w:hint="default" w:ascii="Times New Roman" w:hAnsi="Times New Roman"/>
          <w:sz w:val="28"/>
          <w:szCs w:val="28"/>
          <w:highlight w:val="none"/>
          <w:lang w:val="en-US" w:eastAsia="zh-CN"/>
        </w:rPr>
        <w:t>道路高精导航电子地图生产技术规范</w:t>
      </w:r>
      <w:r>
        <w:rPr>
          <w:rFonts w:hint="eastAsia"/>
          <w:sz w:val="28"/>
          <w:szCs w:val="28"/>
          <w:highlight w:val="none"/>
          <w:lang w:val="en-US" w:eastAsia="zh-CN"/>
        </w:rPr>
        <w:t>（</w:t>
      </w:r>
      <w:r>
        <w:rPr>
          <w:rFonts w:hint="default" w:ascii="Times New Roman" w:hAnsi="Times New Roman"/>
          <w:sz w:val="28"/>
          <w:szCs w:val="28"/>
          <w:highlight w:val="none"/>
          <w:lang w:val="en-US" w:eastAsia="zh-CN"/>
        </w:rPr>
        <w:t>CH/T 4026</w:t>
      </w:r>
      <w:r>
        <w:rPr>
          <w:rFonts w:hint="eastAsia"/>
          <w:sz w:val="28"/>
          <w:szCs w:val="28"/>
          <w:highlight w:val="none"/>
          <w:lang w:val="en-US" w:eastAsia="zh-CN"/>
        </w:rPr>
        <w:t>—</w:t>
      </w:r>
      <w:r>
        <w:rPr>
          <w:rFonts w:hint="default" w:ascii="Times New Roman" w:hAnsi="Times New Roman"/>
          <w:sz w:val="28"/>
          <w:szCs w:val="28"/>
          <w:highlight w:val="none"/>
          <w:lang w:val="en-US" w:eastAsia="zh-CN"/>
        </w:rPr>
        <w:t>2023</w:t>
      </w:r>
      <w:r>
        <w:rPr>
          <w:rFonts w:hint="eastAsia"/>
          <w:sz w:val="28"/>
          <w:szCs w:val="28"/>
          <w:highlight w:val="none"/>
          <w:lang w:val="en-US" w:eastAsia="zh-CN"/>
        </w:rPr>
        <w:t>）》</w:t>
      </w:r>
      <w:r>
        <w:rPr>
          <w:rFonts w:hint="eastAsia"/>
          <w:sz w:val="28"/>
          <w:szCs w:val="28"/>
          <w:lang w:val="en-US" w:eastAsia="zh-CN"/>
        </w:rPr>
        <w:t>《智能运输系统 智能驾驶电子道路图数据模型与表达 第1部分：封闭道路（GB/T 42517.1—2023）》《智能运输系统 智能驾驶电子道路图数据模型与表达 第2部分：开放道路（GB/T 42517.2—2023）》《自动驾驶高精地图产品规格（T/CSGPC 018—2024）》</w:t>
      </w:r>
      <w:r>
        <w:rPr>
          <w:rFonts w:hint="eastAsia"/>
          <w:sz w:val="28"/>
          <w:szCs w:val="28"/>
          <w:highlight w:val="none"/>
          <w:lang w:val="en-US" w:eastAsia="zh-CN"/>
        </w:rPr>
        <w:t>《高精导航电子地图快速更新技术规范》</w:t>
      </w:r>
      <w:r>
        <w:rPr>
          <w:rFonts w:hint="eastAsia"/>
          <w:sz w:val="28"/>
          <w:szCs w:val="28"/>
          <w:lang w:val="en-US" w:eastAsia="zh-CN"/>
        </w:rPr>
        <w:t>《道路高精导航电子地图质量规范》等要素分类，综合分析，对比取舍</w:t>
      </w:r>
      <w:r>
        <w:rPr>
          <w:rFonts w:hint="default" w:ascii="Times New Roman" w:hAnsi="Times New Roman"/>
          <w:sz w:val="28"/>
          <w:szCs w:val="28"/>
          <w:lang w:val="en-US" w:eastAsia="zh-CN"/>
        </w:rPr>
        <w:t>，</w:t>
      </w:r>
      <w:r>
        <w:rPr>
          <w:rFonts w:hint="eastAsia" w:ascii="Times New Roman" w:hAnsi="Times New Roman"/>
          <w:sz w:val="28"/>
          <w:szCs w:val="28"/>
          <w:lang w:val="en-US" w:eastAsia="zh-CN"/>
        </w:rPr>
        <w:t>共</w:t>
      </w:r>
      <w:r>
        <w:rPr>
          <w:rFonts w:hint="default" w:ascii="Times New Roman" w:hAnsi="Times New Roman"/>
          <w:sz w:val="28"/>
          <w:szCs w:val="28"/>
          <w:lang w:val="en-US" w:eastAsia="zh-CN"/>
        </w:rPr>
        <w:t>划分出1</w:t>
      </w:r>
      <w:r>
        <w:rPr>
          <w:rFonts w:hint="eastAsia"/>
          <w:sz w:val="28"/>
          <w:szCs w:val="28"/>
          <w:lang w:val="en-US" w:eastAsia="zh-CN"/>
        </w:rPr>
        <w:t>2个</w:t>
      </w:r>
      <w:r>
        <w:rPr>
          <w:rFonts w:hint="default" w:ascii="Times New Roman" w:hAnsi="Times New Roman"/>
          <w:sz w:val="28"/>
          <w:szCs w:val="28"/>
          <w:lang w:val="en-US" w:eastAsia="zh-CN"/>
        </w:rPr>
        <w:t>中类</w:t>
      </w:r>
      <w:r>
        <w:rPr>
          <w:rFonts w:hint="eastAsia" w:ascii="Times New Roman" w:hAnsi="Times New Roman"/>
          <w:sz w:val="28"/>
          <w:szCs w:val="28"/>
          <w:lang w:val="en-US" w:eastAsia="zh-CN"/>
        </w:rPr>
        <w:t>。</w:t>
      </w:r>
    </w:p>
    <w:p>
      <w:pPr>
        <w:bidi w:val="0"/>
        <w:rPr>
          <w:rFonts w:hint="eastAsia" w:ascii="Times New Roman" w:hAnsi="Times New Roman"/>
          <w:sz w:val="28"/>
          <w:szCs w:val="28"/>
          <w:lang w:val="en-US" w:eastAsia="zh-CN"/>
        </w:rPr>
      </w:pPr>
      <w:r>
        <w:rPr>
          <w:rFonts w:hint="eastAsia" w:ascii="Times New Roman" w:hAnsi="Times New Roman"/>
          <w:sz w:val="28"/>
          <w:szCs w:val="28"/>
          <w:lang w:val="en-US" w:eastAsia="zh-CN"/>
        </w:rPr>
        <w:t>其中</w:t>
      </w:r>
      <w:r>
        <w:rPr>
          <w:rFonts w:hint="eastAsia"/>
          <w:sz w:val="28"/>
          <w:szCs w:val="28"/>
          <w:lang w:val="en-US" w:eastAsia="zh-CN"/>
        </w:rPr>
        <w:t>：</w:t>
      </w:r>
      <w:r>
        <w:rPr>
          <w:rFonts w:hint="eastAsia" w:ascii="Times New Roman" w:hAnsi="Times New Roman"/>
          <w:sz w:val="28"/>
          <w:szCs w:val="28"/>
          <w:lang w:val="en-US" w:eastAsia="zh-CN"/>
        </w:rPr>
        <w:t>道路静态要素</w:t>
      </w:r>
      <w:r>
        <w:rPr>
          <w:rFonts w:hint="eastAsia"/>
          <w:sz w:val="28"/>
          <w:szCs w:val="28"/>
          <w:lang w:val="en-US" w:eastAsia="zh-CN"/>
        </w:rPr>
        <w:t>大类中，</w:t>
      </w:r>
      <w:r>
        <w:rPr>
          <w:rFonts w:hint="eastAsia" w:ascii="Times New Roman" w:hAnsi="Times New Roman"/>
          <w:sz w:val="28"/>
          <w:szCs w:val="28"/>
          <w:lang w:val="en-US" w:eastAsia="zh-CN"/>
        </w:rPr>
        <w:t>结合相关标准中要素信息，综合取舍</w:t>
      </w:r>
      <w:r>
        <w:rPr>
          <w:rFonts w:hint="eastAsia"/>
          <w:sz w:val="28"/>
          <w:szCs w:val="28"/>
          <w:lang w:val="en-US" w:eastAsia="zh-CN"/>
        </w:rPr>
        <w:t>，</w:t>
      </w:r>
      <w:r>
        <w:rPr>
          <w:rFonts w:hint="eastAsia" w:ascii="Times New Roman" w:hAnsi="Times New Roman"/>
          <w:sz w:val="28"/>
          <w:szCs w:val="28"/>
          <w:lang w:val="en-US" w:eastAsia="zh-CN"/>
        </w:rPr>
        <w:t>形成道路网、车道网、道路设施、</w:t>
      </w:r>
      <w:r>
        <w:rPr>
          <w:rFonts w:hint="eastAsia"/>
          <w:sz w:val="28"/>
          <w:szCs w:val="28"/>
          <w:lang w:val="en-US" w:eastAsia="zh-CN"/>
        </w:rPr>
        <w:t>道路构造物、兴趣点（</w:t>
      </w:r>
      <w:r>
        <w:rPr>
          <w:rFonts w:hint="eastAsia" w:ascii="Times New Roman" w:hAnsi="Times New Roman"/>
          <w:sz w:val="28"/>
          <w:szCs w:val="28"/>
          <w:lang w:val="en-US" w:eastAsia="zh-CN"/>
        </w:rPr>
        <w:t>POI</w:t>
      </w:r>
      <w:r>
        <w:rPr>
          <w:rFonts w:hint="eastAsia"/>
          <w:sz w:val="28"/>
          <w:szCs w:val="28"/>
          <w:lang w:val="en-US" w:eastAsia="zh-CN"/>
        </w:rPr>
        <w:t>）、背景环境</w:t>
      </w:r>
      <w:r>
        <w:rPr>
          <w:rFonts w:hint="eastAsia" w:ascii="Times New Roman" w:hAnsi="Times New Roman"/>
          <w:sz w:val="28"/>
          <w:szCs w:val="28"/>
          <w:lang w:val="en-US" w:eastAsia="zh-CN"/>
        </w:rPr>
        <w:t>等</w:t>
      </w:r>
      <w:r>
        <w:rPr>
          <w:rFonts w:hint="eastAsia"/>
          <w:sz w:val="28"/>
          <w:szCs w:val="28"/>
          <w:lang w:val="en-US" w:eastAsia="zh-CN"/>
        </w:rPr>
        <w:t>6</w:t>
      </w:r>
      <w:r>
        <w:rPr>
          <w:rFonts w:hint="eastAsia" w:ascii="Times New Roman" w:hAnsi="Times New Roman"/>
          <w:sz w:val="28"/>
          <w:szCs w:val="28"/>
          <w:lang w:val="en-US" w:eastAsia="zh-CN"/>
        </w:rPr>
        <w:t>个中类；道路</w:t>
      </w:r>
      <w:r>
        <w:rPr>
          <w:rFonts w:hint="eastAsia"/>
          <w:sz w:val="28"/>
          <w:szCs w:val="28"/>
          <w:lang w:val="en-US" w:eastAsia="zh-CN"/>
        </w:rPr>
        <w:t>动态</w:t>
      </w:r>
      <w:r>
        <w:rPr>
          <w:rFonts w:hint="eastAsia" w:ascii="Times New Roman" w:hAnsi="Times New Roman"/>
          <w:sz w:val="28"/>
          <w:szCs w:val="28"/>
          <w:lang w:val="en-US" w:eastAsia="zh-CN"/>
        </w:rPr>
        <w:t>要素</w:t>
      </w:r>
      <w:r>
        <w:rPr>
          <w:rFonts w:hint="eastAsia"/>
          <w:sz w:val="28"/>
          <w:szCs w:val="28"/>
          <w:lang w:val="en-US" w:eastAsia="zh-CN"/>
        </w:rPr>
        <w:t>大类中，</w:t>
      </w:r>
      <w:r>
        <w:rPr>
          <w:rFonts w:hint="eastAsia" w:ascii="Times New Roman" w:hAnsi="Times New Roman"/>
          <w:sz w:val="28"/>
          <w:szCs w:val="28"/>
          <w:lang w:val="en-US" w:eastAsia="zh-CN"/>
        </w:rPr>
        <w:t>结合相关标准中要素信息，综合取舍分为</w:t>
      </w:r>
      <w:r>
        <w:rPr>
          <w:rFonts w:hint="eastAsia"/>
          <w:sz w:val="28"/>
          <w:szCs w:val="28"/>
          <w:lang w:val="en-US" w:eastAsia="zh-CN"/>
        </w:rPr>
        <w:t>交通路况、天气条件2</w:t>
      </w:r>
      <w:r>
        <w:rPr>
          <w:rFonts w:hint="eastAsia" w:ascii="Times New Roman" w:hAnsi="Times New Roman"/>
          <w:sz w:val="28"/>
          <w:szCs w:val="28"/>
          <w:lang w:val="en-US" w:eastAsia="zh-CN"/>
        </w:rPr>
        <w:t>个中类；</w:t>
      </w:r>
      <w:r>
        <w:rPr>
          <w:rFonts w:hint="eastAsia"/>
          <w:color w:val="auto"/>
          <w:sz w:val="28"/>
          <w:szCs w:val="28"/>
          <w:highlight w:val="none"/>
          <w:lang w:val="en-US" w:eastAsia="zh-CN"/>
        </w:rPr>
        <w:t>车辆感知</w:t>
      </w:r>
      <w:r>
        <w:rPr>
          <w:rFonts w:hint="default" w:ascii="Times New Roman" w:hAnsi="Times New Roman"/>
          <w:color w:val="auto"/>
          <w:sz w:val="28"/>
          <w:szCs w:val="28"/>
          <w:highlight w:val="none"/>
          <w:lang w:val="en-US" w:eastAsia="zh-CN"/>
        </w:rPr>
        <w:t>要素</w:t>
      </w:r>
      <w:r>
        <w:rPr>
          <w:rFonts w:hint="eastAsia"/>
          <w:color w:val="auto"/>
          <w:sz w:val="28"/>
          <w:szCs w:val="28"/>
          <w:highlight w:val="none"/>
          <w:lang w:val="en-US" w:eastAsia="zh-CN"/>
        </w:rPr>
        <w:t>大类中，结合相关标准中要素信息，综合取舍，放入机动车、非机动车、行人、障碍物等4个</w:t>
      </w:r>
      <w:r>
        <w:rPr>
          <w:rFonts w:hint="eastAsia" w:ascii="Times New Roman" w:hAnsi="Times New Roman"/>
          <w:sz w:val="28"/>
          <w:szCs w:val="28"/>
          <w:lang w:val="en-US" w:eastAsia="zh-CN"/>
        </w:rPr>
        <w:t>中类。</w:t>
      </w:r>
    </w:p>
    <w:p>
      <w:pPr>
        <w:pStyle w:val="5"/>
        <w:ind w:firstLine="480"/>
        <w:jc w:val="center"/>
        <w:rPr>
          <w:rFonts w:hint="eastAsia"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6</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w:t>
      </w:r>
      <w:r>
        <w:rPr>
          <w:rFonts w:hint="eastAsia" w:ascii="Times New Roman" w:hAnsi="Times New Roman" w:eastAsia="黑体" w:cs="Times New Roman"/>
          <w:kern w:val="0"/>
          <w:sz w:val="28"/>
          <w:szCs w:val="24"/>
        </w:rPr>
        <w:t>智能汽车基础地图要素分类（大类、中类）</w:t>
      </w:r>
      <w:r>
        <w:rPr>
          <w:rFonts w:hint="eastAsia" w:ascii="Times New Roman" w:hAnsi="Times New Roman" w:cs="Times New Roman"/>
          <w:kern w:val="0"/>
          <w:sz w:val="28"/>
          <w:szCs w:val="24"/>
          <w:lang w:val="en-US" w:eastAsia="zh-CN"/>
        </w:rPr>
        <w:t>说明</w:t>
      </w:r>
    </w:p>
    <w:tbl>
      <w:tblPr>
        <w:tblStyle w:val="18"/>
        <w:tblW w:w="504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55"/>
        <w:gridCol w:w="1103"/>
        <w:gridCol w:w="1354"/>
        <w:gridCol w:w="3239"/>
        <w:gridCol w:w="17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0" w:hRule="atLeast"/>
          <w:tblHeader/>
          <w:jc w:val="center"/>
        </w:trPr>
        <w:tc>
          <w:tcPr>
            <w:tcW w:w="568" w:type="pct"/>
            <w:tcBorders>
              <w:top w:val="single" w:color="auto" w:sz="8" w:space="0"/>
              <w:bottom w:val="single" w:color="auto" w:sz="8" w:space="0"/>
            </w:tcBorders>
            <w:shd w:val="clear" w:color="auto" w:fill="auto"/>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大类码</w:t>
            </w:r>
          </w:p>
        </w:tc>
        <w:tc>
          <w:tcPr>
            <w:tcW w:w="656" w:type="pct"/>
            <w:tcBorders>
              <w:top w:val="single" w:color="auto" w:sz="8" w:space="0"/>
              <w:bottom w:val="single" w:color="auto" w:sz="8" w:space="0"/>
            </w:tcBorders>
            <w:shd w:val="clear" w:color="auto" w:fill="auto"/>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大类</w:t>
            </w:r>
          </w:p>
        </w:tc>
        <w:tc>
          <w:tcPr>
            <w:tcW w:w="805" w:type="pct"/>
            <w:tcBorders>
              <w:top w:val="single" w:color="auto" w:sz="8" w:space="0"/>
              <w:bottom w:val="single" w:color="auto" w:sz="8" w:space="0"/>
            </w:tcBorders>
            <w:shd w:val="clear" w:color="auto" w:fill="auto"/>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中类码</w:t>
            </w:r>
          </w:p>
        </w:tc>
        <w:tc>
          <w:tcPr>
            <w:tcW w:w="1926" w:type="pct"/>
            <w:tcBorders>
              <w:top w:val="single" w:color="auto" w:sz="8" w:space="0"/>
              <w:bottom w:val="single" w:color="auto" w:sz="8" w:space="0"/>
            </w:tcBorders>
            <w:shd w:val="clear" w:color="auto" w:fill="auto"/>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中类</w:t>
            </w:r>
          </w:p>
        </w:tc>
        <w:tc>
          <w:tcPr>
            <w:tcW w:w="1042" w:type="pct"/>
            <w:tcBorders>
              <w:top w:val="single" w:color="auto" w:sz="8" w:space="0"/>
              <w:bottom w:val="single" w:color="auto" w:sz="8" w:space="0"/>
            </w:tcBorders>
            <w:shd w:val="clear" w:color="auto" w:fill="auto"/>
          </w:tcPr>
          <w:p>
            <w:pPr>
              <w:pStyle w:val="51"/>
              <w:keepNext w:val="0"/>
              <w:keepLines w:val="0"/>
              <w:widowControl/>
              <w:suppressLineNumbers w:val="0"/>
              <w:spacing w:before="0" w:beforeAutospacing="0" w:after="0" w:afterAutospacing="0"/>
              <w:ind w:left="0" w:right="0"/>
              <w:rPr>
                <w:rFonts w:hint="default" w:eastAsia="宋体"/>
                <w:szCs w:val="20"/>
                <w:lang w:val="en-US" w:eastAsia="zh-CN"/>
              </w:rPr>
            </w:pPr>
            <w:r>
              <w:rPr>
                <w:rFonts w:hint="eastAsia"/>
                <w:szCs w:val="20"/>
                <w:lang w:val="en-US" w:eastAsia="zh-CN"/>
              </w:rPr>
              <w:t>协调标准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8" w:type="pct"/>
            <w:vMerge w:val="restart"/>
            <w:tcBorders>
              <w:top w:val="single" w:color="auto" w:sz="8" w:space="0"/>
            </w:tcBorders>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1</w:t>
            </w:r>
          </w:p>
        </w:tc>
        <w:tc>
          <w:tcPr>
            <w:tcW w:w="656" w:type="pct"/>
            <w:vMerge w:val="restart"/>
            <w:tcBorders>
              <w:top w:val="single" w:color="auto" w:sz="8" w:space="0"/>
            </w:tcBorders>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道路静态要素</w:t>
            </w:r>
          </w:p>
        </w:tc>
        <w:tc>
          <w:tcPr>
            <w:tcW w:w="805" w:type="pct"/>
            <w:tcBorders>
              <w:top w:val="single" w:color="auto" w:sz="8" w:space="0"/>
            </w:tcBorders>
            <w:shd w:val="clear" w:color="auto" w:fill="auto"/>
            <w:vAlign w:val="center"/>
          </w:tcPr>
          <w:p>
            <w:pPr>
              <w:pStyle w:val="51"/>
              <w:keepNext w:val="0"/>
              <w:keepLines w:val="0"/>
              <w:widowControl/>
              <w:suppressLineNumbers w:val="0"/>
              <w:spacing w:before="0" w:beforeAutospacing="0" w:after="0" w:afterAutospacing="0"/>
              <w:ind w:left="0" w:right="0"/>
              <w:rPr>
                <w:rFonts w:hint="eastAsia" w:eastAsia="宋体"/>
                <w:szCs w:val="20"/>
                <w:lang w:val="en-US" w:eastAsia="zh-CN"/>
              </w:rPr>
            </w:pPr>
            <w:r>
              <w:rPr>
                <w:rFonts w:hint="eastAsia"/>
                <w:szCs w:val="20"/>
              </w:rPr>
              <w:t>1</w:t>
            </w:r>
          </w:p>
        </w:tc>
        <w:tc>
          <w:tcPr>
            <w:tcW w:w="1926" w:type="pct"/>
            <w:tcBorders>
              <w:top w:val="single" w:color="auto" w:sz="8" w:space="0"/>
            </w:tcBorders>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道路网</w:t>
            </w:r>
          </w:p>
        </w:tc>
        <w:tc>
          <w:tcPr>
            <w:tcW w:w="1042" w:type="pct"/>
            <w:vMerge w:val="restart"/>
            <w:tcBorders>
              <w:top w:val="single" w:color="auto" w:sz="8" w:space="0"/>
            </w:tcBorders>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eastAsia="宋体" w:cs="宋体"/>
                <w:color w:val="000000"/>
                <w:sz w:val="20"/>
                <w:szCs w:val="20"/>
                <w:u w:val="none"/>
                <w:lang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w:t>
            </w:r>
            <w:r>
              <w:rPr>
                <w:rFonts w:hint="default" w:hAnsi="宋体" w:cs="宋体"/>
                <w:color w:val="000000"/>
                <w:sz w:val="20"/>
                <w:szCs w:val="20"/>
                <w:u w:val="none"/>
                <w:lang w:eastAsia="zh-CN" w:bidi="ar"/>
              </w:rPr>
              <w:t>《</w:t>
            </w:r>
            <w:r>
              <w:rPr>
                <w:rFonts w:hint="default" w:hAnsi="宋体" w:cs="宋体"/>
                <w:color w:val="000000"/>
                <w:sz w:val="20"/>
                <w:szCs w:val="20"/>
                <w:u w:val="none"/>
                <w:lang w:bidi="ar"/>
              </w:rPr>
              <w:t>智能驾驶高精度地图模型</w:t>
            </w:r>
            <w:r>
              <w:rPr>
                <w:rFonts w:hint="default" w:hAnsi="宋体" w:cs="宋体"/>
                <w:color w:val="000000"/>
                <w:sz w:val="20"/>
                <w:szCs w:val="20"/>
                <w:u w:val="none"/>
                <w:lang w:eastAsia="zh-CN" w:bidi="ar"/>
              </w:rPr>
              <w:t>》、GB/T28442—2012《导航电子地图数据分类与编码》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eastAsia="宋体"/>
                <w:szCs w:val="20"/>
                <w:lang w:val="en-US" w:eastAsia="zh-CN"/>
              </w:rPr>
            </w:pPr>
            <w:r>
              <w:rPr>
                <w:rFonts w:hint="eastAsia"/>
                <w:szCs w:val="20"/>
              </w:rPr>
              <w:t>2</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车道网</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eastAsia="宋体"/>
                <w:szCs w:val="20"/>
                <w:lang w:val="en-US" w:eastAsia="zh-CN"/>
              </w:rPr>
            </w:pPr>
            <w:r>
              <w:rPr>
                <w:rFonts w:hint="eastAsia"/>
                <w:szCs w:val="20"/>
              </w:rPr>
              <w:t>3</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eastAsia="宋体"/>
                <w:szCs w:val="20"/>
                <w:lang w:eastAsia="zh-CN"/>
              </w:rPr>
            </w:pPr>
            <w:r>
              <w:rPr>
                <w:rFonts w:hint="eastAsia"/>
                <w:szCs w:val="20"/>
              </w:rPr>
              <w:t>道路</w:t>
            </w:r>
            <w:r>
              <w:rPr>
                <w:rFonts w:hint="eastAsia"/>
                <w:szCs w:val="20"/>
                <w:lang w:val="en-US" w:eastAsia="zh-CN"/>
              </w:rPr>
              <w:t>设施</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firstLine="0" w:firstLineChars="0"/>
              <w:rPr>
                <w:rFonts w:hint="eastAsia" w:ascii="宋体" w:hAnsi="Times New Roman" w:eastAsia="宋体" w:cs="Times New Roman"/>
                <w:sz w:val="18"/>
                <w:szCs w:val="20"/>
                <w:lang w:val="en-US" w:eastAsia="zh-CN" w:bidi="ar-SA"/>
              </w:rPr>
            </w:pPr>
            <w:r>
              <w:rPr>
                <w:rFonts w:hint="eastAsia"/>
                <w:szCs w:val="20"/>
                <w:lang w:val="en-US" w:eastAsia="zh-CN"/>
              </w:rPr>
              <w:t>4</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eastAsia="宋体"/>
                <w:szCs w:val="20"/>
                <w:lang w:val="en-US" w:eastAsia="zh-CN"/>
              </w:rPr>
            </w:pPr>
            <w:r>
              <w:rPr>
                <w:rFonts w:hint="eastAsia"/>
                <w:szCs w:val="20"/>
              </w:rPr>
              <w:t>道路</w:t>
            </w:r>
            <w:r>
              <w:rPr>
                <w:rFonts w:hint="eastAsia"/>
                <w:szCs w:val="20"/>
                <w:lang w:val="en-US" w:eastAsia="zh-CN"/>
              </w:rPr>
              <w:t>构造物</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firstLine="0" w:firstLineChars="0"/>
              <w:rPr>
                <w:rFonts w:hint="default" w:ascii="宋体" w:hAnsi="Times New Roman" w:eastAsia="宋体" w:cs="Times New Roman"/>
                <w:sz w:val="18"/>
                <w:szCs w:val="20"/>
                <w:lang w:val="en-US" w:eastAsia="zh-CN" w:bidi="ar-SA"/>
              </w:rPr>
            </w:pPr>
            <w:r>
              <w:rPr>
                <w:rFonts w:hint="eastAsia"/>
                <w:szCs w:val="20"/>
                <w:lang w:val="en-US" w:eastAsia="zh-CN"/>
              </w:rPr>
              <w:t>5</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eastAsia="宋体"/>
                <w:szCs w:val="20"/>
                <w:lang w:eastAsia="zh-CN"/>
              </w:rPr>
            </w:pPr>
            <w:r>
              <w:rPr>
                <w:rFonts w:hint="eastAsia"/>
                <w:szCs w:val="20"/>
                <w:lang w:val="en-US" w:eastAsia="zh-CN"/>
              </w:rPr>
              <w:t>兴趣点（</w:t>
            </w:r>
            <w:r>
              <w:rPr>
                <w:rFonts w:hint="eastAsia"/>
                <w:szCs w:val="20"/>
              </w:rPr>
              <w:t>POI</w:t>
            </w:r>
            <w:r>
              <w:rPr>
                <w:rFonts w:hint="eastAsia"/>
                <w:szCs w:val="20"/>
                <w:lang w:eastAsia="zh-CN"/>
              </w:rPr>
              <w:t>）</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eastAsia="宋体"/>
                <w:szCs w:val="20"/>
                <w:lang w:val="en-US" w:eastAsia="zh-CN"/>
              </w:rPr>
            </w:pPr>
            <w:r>
              <w:rPr>
                <w:rFonts w:hint="eastAsia"/>
                <w:szCs w:val="20"/>
                <w:lang w:val="en-US" w:eastAsia="zh-CN"/>
              </w:rPr>
              <w:t>6</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eastAsia="宋体"/>
                <w:szCs w:val="20"/>
                <w:lang w:val="en-US" w:eastAsia="zh-CN"/>
              </w:rPr>
            </w:pPr>
            <w:r>
              <w:rPr>
                <w:rFonts w:hint="eastAsia"/>
                <w:szCs w:val="20"/>
                <w:lang w:val="en-US" w:eastAsia="zh-CN"/>
              </w:rPr>
              <w:t>背景环境</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8" w:type="pct"/>
            <w:vMerge w:val="restar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2</w:t>
            </w:r>
          </w:p>
        </w:tc>
        <w:tc>
          <w:tcPr>
            <w:tcW w:w="656" w:type="pct"/>
            <w:vMerge w:val="restar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道路动态要素</w:t>
            </w: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1</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交通路况</w:t>
            </w:r>
          </w:p>
        </w:tc>
        <w:tc>
          <w:tcPr>
            <w:tcW w:w="1042" w:type="pct"/>
            <w:vMerge w:val="restart"/>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w:t>
            </w:r>
            <w:r>
              <w:rPr>
                <w:rFonts w:hint="default" w:hAnsi="宋体" w:cs="宋体"/>
                <w:color w:val="000000"/>
                <w:sz w:val="20"/>
                <w:szCs w:val="20"/>
                <w:u w:val="none"/>
                <w:lang w:eastAsia="zh-CN" w:bidi="ar"/>
              </w:rPr>
              <w:t>《</w:t>
            </w:r>
            <w:r>
              <w:rPr>
                <w:rFonts w:hint="default" w:hAnsi="宋体" w:cs="宋体"/>
                <w:color w:val="000000"/>
                <w:sz w:val="20"/>
                <w:szCs w:val="20"/>
                <w:u w:val="none"/>
                <w:lang w:bidi="ar"/>
              </w:rPr>
              <w:t>智能驾驶高精度地图模型</w:t>
            </w:r>
            <w:r>
              <w:rPr>
                <w:rFonts w:hint="default" w:hAnsi="宋体" w:cs="宋体"/>
                <w:color w:val="000000"/>
                <w:sz w:val="20"/>
                <w:szCs w:val="20"/>
                <w:u w:val="none"/>
                <w:lang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2</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天气条件</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8" w:type="pct"/>
            <w:vMerge w:val="restar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3</w:t>
            </w:r>
          </w:p>
        </w:tc>
        <w:tc>
          <w:tcPr>
            <w:tcW w:w="656" w:type="pct"/>
            <w:vMerge w:val="restar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车辆感知要素</w:t>
            </w: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rPr>
            </w:pPr>
            <w:r>
              <w:rPr>
                <w:rFonts w:hint="eastAsia"/>
                <w:szCs w:val="20"/>
              </w:rPr>
              <w:t>1</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r>
              <w:rPr>
                <w:rFonts w:hint="eastAsia"/>
                <w:szCs w:val="20"/>
                <w:lang w:val="en-US" w:eastAsia="zh-CN"/>
              </w:rPr>
              <w:t>机动车</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default" w:hAnsi="宋体" w:cs="宋体"/>
                <w:color w:val="000000"/>
                <w:sz w:val="20"/>
                <w:szCs w:val="20"/>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eastAsia="宋体"/>
                <w:szCs w:val="20"/>
                <w:lang w:val="en-US" w:eastAsia="zh-CN"/>
              </w:rPr>
            </w:pPr>
            <w:r>
              <w:rPr>
                <w:rFonts w:hint="eastAsia"/>
                <w:szCs w:val="20"/>
                <w:lang w:val="en-US" w:eastAsia="zh-CN"/>
              </w:rPr>
              <w:t>2</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r>
              <w:rPr>
                <w:rFonts w:hint="eastAsia"/>
                <w:szCs w:val="20"/>
                <w:lang w:val="en-US" w:eastAsia="zh-CN"/>
              </w:rPr>
              <w:t>非机动车</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eastAsia="宋体"/>
                <w:szCs w:val="20"/>
                <w:lang w:val="en-US" w:eastAsia="zh-CN"/>
              </w:rPr>
            </w:pPr>
            <w:r>
              <w:rPr>
                <w:rFonts w:hint="eastAsia"/>
                <w:szCs w:val="20"/>
                <w:lang w:val="en-US" w:eastAsia="zh-CN"/>
              </w:rPr>
              <w:t>3</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r>
              <w:rPr>
                <w:rFonts w:hint="eastAsia"/>
                <w:szCs w:val="20"/>
                <w:lang w:val="en-US" w:eastAsia="zh-CN"/>
              </w:rPr>
              <w:t>行人</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8"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p>
        </w:tc>
        <w:tc>
          <w:tcPr>
            <w:tcW w:w="656"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p>
        </w:tc>
        <w:tc>
          <w:tcPr>
            <w:tcW w:w="805" w:type="pct"/>
            <w:shd w:val="clear" w:color="auto" w:fill="auto"/>
            <w:vAlign w:val="center"/>
          </w:tcPr>
          <w:p>
            <w:pPr>
              <w:pStyle w:val="51"/>
              <w:keepNext w:val="0"/>
              <w:keepLines w:val="0"/>
              <w:widowControl/>
              <w:suppressLineNumbers w:val="0"/>
              <w:spacing w:before="0" w:beforeAutospacing="0" w:after="0" w:afterAutospacing="0"/>
              <w:ind w:left="0" w:right="0"/>
              <w:rPr>
                <w:rFonts w:hint="default"/>
                <w:szCs w:val="20"/>
                <w:lang w:val="en-US" w:eastAsia="zh-CN"/>
              </w:rPr>
            </w:pPr>
            <w:r>
              <w:rPr>
                <w:rFonts w:hint="eastAsia"/>
                <w:szCs w:val="20"/>
                <w:lang w:val="en-US" w:eastAsia="zh-CN"/>
              </w:rPr>
              <w:t>4</w:t>
            </w:r>
          </w:p>
        </w:tc>
        <w:tc>
          <w:tcPr>
            <w:tcW w:w="1926" w:type="pct"/>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rPr>
            </w:pPr>
            <w:r>
              <w:rPr>
                <w:rFonts w:hint="eastAsia"/>
                <w:szCs w:val="20"/>
                <w:lang w:val="en-US" w:eastAsia="zh-CN"/>
              </w:rPr>
              <w:t>障碍物</w:t>
            </w:r>
          </w:p>
        </w:tc>
        <w:tc>
          <w:tcPr>
            <w:tcW w:w="1042" w:type="pct"/>
            <w:vMerge w:val="continue"/>
            <w:shd w:val="clear" w:color="auto" w:fill="auto"/>
            <w:vAlign w:val="center"/>
          </w:tcPr>
          <w:p>
            <w:pPr>
              <w:pStyle w:val="51"/>
              <w:keepNext w:val="0"/>
              <w:keepLines w:val="0"/>
              <w:widowControl/>
              <w:suppressLineNumbers w:val="0"/>
              <w:spacing w:before="0" w:beforeAutospacing="0" w:after="0" w:afterAutospacing="0"/>
              <w:ind w:left="0" w:right="0"/>
              <w:rPr>
                <w:rFonts w:hint="eastAsia"/>
                <w:szCs w:val="20"/>
                <w:lang w:val="en-US" w:eastAsia="zh-CN"/>
              </w:rPr>
            </w:pPr>
          </w:p>
        </w:tc>
      </w:tr>
    </w:tbl>
    <w:p>
      <w:pPr>
        <w:outlineLvl w:val="4"/>
        <w:rPr>
          <w:rFonts w:hint="default" w:ascii="Times New Roman" w:hAnsi="Times New Roman"/>
          <w:b/>
          <w:bCs/>
          <w:sz w:val="28"/>
          <w:szCs w:val="28"/>
          <w:lang w:val="en-US" w:eastAsia="zh-CN"/>
        </w:rPr>
      </w:pPr>
      <w:r>
        <w:rPr>
          <w:rFonts w:hint="eastAsia"/>
          <w:b/>
          <w:bCs/>
          <w:sz w:val="28"/>
          <w:szCs w:val="28"/>
          <w:lang w:val="en-US" w:eastAsia="zh-CN"/>
        </w:rPr>
        <w:t>（</w:t>
      </w:r>
      <w:r>
        <w:rPr>
          <w:rFonts w:hint="eastAsia" w:ascii="Times New Roman" w:hAnsi="Times New Roman"/>
          <w:b/>
          <w:bCs/>
          <w:sz w:val="28"/>
          <w:szCs w:val="28"/>
          <w:lang w:val="en-US" w:eastAsia="zh-CN"/>
        </w:rPr>
        <w:t>3）小类</w:t>
      </w:r>
      <w:r>
        <w:rPr>
          <w:rFonts w:hint="eastAsia"/>
          <w:b/>
          <w:bCs/>
          <w:sz w:val="28"/>
          <w:szCs w:val="28"/>
          <w:lang w:val="en-US" w:eastAsia="zh-CN"/>
        </w:rPr>
        <w:t>及子类</w:t>
      </w:r>
    </w:p>
    <w:p>
      <w:pPr>
        <w:bidi w:val="0"/>
        <w:rPr>
          <w:rFonts w:hint="eastAsia"/>
          <w:sz w:val="28"/>
          <w:szCs w:val="28"/>
          <w:lang w:val="en-US" w:eastAsia="zh-CN"/>
        </w:rPr>
      </w:pPr>
      <w:r>
        <w:rPr>
          <w:rFonts w:hint="eastAsia"/>
          <w:sz w:val="28"/>
          <w:szCs w:val="28"/>
          <w:lang w:val="en-US" w:eastAsia="zh-CN"/>
        </w:rPr>
        <w:t>在中类的分类基础上，除去梳理分析了</w:t>
      </w:r>
      <w:r>
        <w:rPr>
          <w:rFonts w:hint="eastAsia"/>
          <w:sz w:val="28"/>
          <w:szCs w:val="28"/>
          <w:highlight w:val="none"/>
          <w:lang w:val="en-US" w:eastAsia="zh-CN"/>
        </w:rPr>
        <w:t>CH/T 4027—2023</w:t>
      </w:r>
      <w:r>
        <w:rPr>
          <w:rFonts w:hint="default" w:ascii="Times New Roman" w:hAnsi="Times New Roman"/>
          <w:sz w:val="28"/>
          <w:szCs w:val="28"/>
          <w:highlight w:val="none"/>
          <w:lang w:val="en-US" w:eastAsia="zh-CN"/>
        </w:rPr>
        <w:t>《道路高精导航电子地图生产技术规范》</w:t>
      </w:r>
      <w:r>
        <w:rPr>
          <w:rFonts w:hint="eastAsia"/>
          <w:sz w:val="28"/>
          <w:szCs w:val="28"/>
          <w:highlight w:val="none"/>
          <w:lang w:val="en-US" w:eastAsia="zh-CN"/>
        </w:rPr>
        <w:t>、</w:t>
      </w:r>
      <w:r>
        <w:rPr>
          <w:rFonts w:hint="default" w:ascii="Times New Roman" w:hAnsi="Times New Roman"/>
          <w:sz w:val="28"/>
          <w:szCs w:val="28"/>
          <w:lang w:val="en-US" w:eastAsia="zh-CN"/>
        </w:rPr>
        <w:t>CH/T 4026</w:t>
      </w:r>
      <w:r>
        <w:rPr>
          <w:rFonts w:hint="eastAsia"/>
          <w:sz w:val="28"/>
          <w:szCs w:val="28"/>
          <w:lang w:val="en-US" w:eastAsia="zh-CN"/>
        </w:rPr>
        <w:t>—2023</w:t>
      </w:r>
      <w:r>
        <w:rPr>
          <w:rFonts w:hint="eastAsia" w:ascii="Times New Roman" w:hAnsi="Times New Roman"/>
          <w:sz w:val="28"/>
          <w:szCs w:val="28"/>
          <w:lang w:val="en-US" w:eastAsia="zh-CN"/>
        </w:rPr>
        <w:t>《道路高精导航电子地图数据规范</w:t>
      </w:r>
      <w:r>
        <w:rPr>
          <w:rFonts w:hint="eastAsia"/>
          <w:sz w:val="28"/>
          <w:szCs w:val="28"/>
          <w:lang w:val="en-US" w:eastAsia="zh-CN"/>
        </w:rPr>
        <w:t>》《</w:t>
      </w:r>
      <w:r>
        <w:rPr>
          <w:rFonts w:hint="eastAsia" w:ascii="Times New Roman" w:hAnsi="Times New Roman"/>
          <w:sz w:val="28"/>
          <w:szCs w:val="28"/>
          <w:lang w:val="en-US" w:eastAsia="zh-CN"/>
        </w:rPr>
        <w:t>智能</w:t>
      </w:r>
      <w:r>
        <w:rPr>
          <w:rFonts w:hint="eastAsia"/>
          <w:sz w:val="28"/>
          <w:szCs w:val="28"/>
          <w:lang w:val="en-US" w:eastAsia="zh-CN"/>
        </w:rPr>
        <w:t>汽车</w:t>
      </w:r>
      <w:r>
        <w:rPr>
          <w:rFonts w:hint="eastAsia" w:ascii="Times New Roman" w:hAnsi="Times New Roman"/>
          <w:sz w:val="28"/>
          <w:szCs w:val="28"/>
          <w:lang w:val="en-US" w:eastAsia="zh-CN"/>
        </w:rPr>
        <w:t>高精地图框架模型》</w:t>
      </w:r>
      <w:r>
        <w:rPr>
          <w:rFonts w:hint="eastAsia"/>
          <w:sz w:val="28"/>
          <w:szCs w:val="28"/>
          <w:highlight w:val="none"/>
          <w:lang w:val="en-US" w:eastAsia="zh-CN"/>
        </w:rPr>
        <w:t>等40多项智能汽车高精地图、高精导航电子地图相关</w:t>
      </w:r>
      <w:r>
        <w:rPr>
          <w:rFonts w:hint="eastAsia"/>
          <w:sz w:val="28"/>
          <w:szCs w:val="28"/>
          <w:lang w:val="en-US" w:eastAsia="zh-CN"/>
        </w:rPr>
        <w:t>标准中的地图要素外，同时还结合</w:t>
      </w:r>
      <w:r>
        <w:rPr>
          <w:rFonts w:hint="default" w:ascii="Times New Roman" w:hAnsi="Times New Roman"/>
          <w:sz w:val="28"/>
          <w:szCs w:val="28"/>
          <w:lang w:val="en-US" w:eastAsia="zh-CN"/>
        </w:rPr>
        <w:t>GB 5768.2</w:t>
      </w:r>
      <w:r>
        <w:rPr>
          <w:rFonts w:hint="eastAsia" w:ascii="Times New Roman" w:hAnsi="Times New Roman"/>
          <w:sz w:val="28"/>
          <w:szCs w:val="28"/>
          <w:lang w:val="en-US" w:eastAsia="zh-CN"/>
        </w:rPr>
        <w:t>《道路交通标志和标线 第2部分：道路交通标志》</w:t>
      </w:r>
      <w:r>
        <w:rPr>
          <w:rFonts w:hint="default" w:ascii="Times New Roman" w:hAnsi="Times New Roman"/>
          <w:sz w:val="28"/>
          <w:szCs w:val="28"/>
          <w:lang w:val="en-US" w:eastAsia="zh-CN"/>
        </w:rPr>
        <w:t>、GB 5768.3</w:t>
      </w:r>
      <w:r>
        <w:rPr>
          <w:rFonts w:hint="eastAsia" w:ascii="Times New Roman" w:hAnsi="Times New Roman"/>
          <w:sz w:val="28"/>
          <w:szCs w:val="28"/>
          <w:lang w:val="en-US" w:eastAsia="zh-CN"/>
        </w:rPr>
        <w:t>《道路交通标志和标线 第3部分：道路交通标线》</w:t>
      </w:r>
      <w:r>
        <w:rPr>
          <w:rFonts w:hint="default" w:ascii="Times New Roman" w:hAnsi="Times New Roman"/>
          <w:sz w:val="28"/>
          <w:szCs w:val="28"/>
          <w:lang w:val="en-US" w:eastAsia="zh-CN"/>
        </w:rPr>
        <w:t>、GB 51038</w:t>
      </w:r>
      <w:r>
        <w:rPr>
          <w:rFonts w:hint="eastAsia" w:ascii="Times New Roman" w:hAnsi="Times New Roman"/>
          <w:sz w:val="28"/>
          <w:szCs w:val="28"/>
          <w:lang w:val="en-US" w:eastAsia="zh-CN"/>
        </w:rPr>
        <w:t>《城市道路交通标志和标线设置规范》</w:t>
      </w:r>
      <w:r>
        <w:rPr>
          <w:rFonts w:hint="eastAsia"/>
          <w:sz w:val="28"/>
          <w:szCs w:val="28"/>
          <w:lang w:val="en-US" w:eastAsia="zh-CN"/>
        </w:rPr>
        <w:t>、JTGD81-2017《公路交通安全设施设计规范》</w:t>
      </w:r>
      <w:r>
        <w:rPr>
          <w:rFonts w:hint="default" w:ascii="Times New Roman" w:hAnsi="Times New Roman"/>
          <w:sz w:val="28"/>
          <w:szCs w:val="28"/>
          <w:lang w:val="en-US" w:eastAsia="zh-CN"/>
        </w:rPr>
        <w:t>等标准，</w:t>
      </w:r>
      <w:r>
        <w:rPr>
          <w:rFonts w:hint="eastAsia"/>
          <w:sz w:val="28"/>
          <w:szCs w:val="28"/>
          <w:lang w:val="en-US" w:eastAsia="zh-CN"/>
        </w:rPr>
        <w:t>对各种类进行要素细分为小类及子类。</w:t>
      </w:r>
    </w:p>
    <w:p>
      <w:pPr>
        <w:bidi w:val="0"/>
        <w:rPr>
          <w:rFonts w:hint="default"/>
          <w:color w:val="auto"/>
          <w:sz w:val="28"/>
          <w:szCs w:val="28"/>
          <w:highlight w:val="none"/>
          <w:lang w:val="en-US" w:eastAsia="zh-CN"/>
        </w:rPr>
      </w:pPr>
      <w:r>
        <w:rPr>
          <w:rFonts w:hint="eastAsia"/>
          <w:color w:val="auto"/>
          <w:sz w:val="28"/>
          <w:szCs w:val="28"/>
          <w:highlight w:val="none"/>
          <w:lang w:val="en-US" w:eastAsia="zh-CN"/>
        </w:rPr>
        <w:t>对于“</w:t>
      </w:r>
      <w:r>
        <w:rPr>
          <w:rFonts w:hint="default" w:ascii="Times New Roman" w:hAnsi="Times New Roman"/>
          <w:color w:val="auto"/>
          <w:sz w:val="28"/>
          <w:szCs w:val="28"/>
          <w:highlight w:val="none"/>
          <w:lang w:val="en-US" w:eastAsia="zh-CN"/>
        </w:rPr>
        <w:t>道路静态要素</w:t>
      </w:r>
      <w:r>
        <w:rPr>
          <w:rFonts w:hint="eastAsia"/>
          <w:color w:val="auto"/>
          <w:sz w:val="28"/>
          <w:szCs w:val="28"/>
          <w:highlight w:val="none"/>
          <w:lang w:val="en-US" w:eastAsia="zh-CN"/>
        </w:rPr>
        <w:t>”“道路实时要素”和“车辆感知要素”大类下的中类</w:t>
      </w:r>
      <w:r>
        <w:rPr>
          <w:rFonts w:hint="default" w:ascii="Times New Roman" w:hAnsi="Times New Roman"/>
          <w:color w:val="auto"/>
          <w:sz w:val="28"/>
          <w:szCs w:val="28"/>
          <w:highlight w:val="none"/>
          <w:lang w:val="en-US" w:eastAsia="zh-CN"/>
        </w:rPr>
        <w:t>，结合相关标准中要素信息，综合取舍</w:t>
      </w:r>
      <w:r>
        <w:rPr>
          <w:rFonts w:hint="eastAsia"/>
          <w:color w:val="auto"/>
          <w:sz w:val="28"/>
          <w:szCs w:val="28"/>
          <w:highlight w:val="none"/>
          <w:lang w:val="en-US" w:eastAsia="zh-CN"/>
        </w:rPr>
        <w:t>，</w:t>
      </w:r>
      <w:r>
        <w:rPr>
          <w:rFonts w:hint="default" w:ascii="Times New Roman" w:hAnsi="Times New Roman"/>
          <w:color w:val="auto"/>
          <w:sz w:val="28"/>
          <w:szCs w:val="28"/>
          <w:highlight w:val="none"/>
          <w:lang w:val="en-US" w:eastAsia="zh-CN"/>
        </w:rPr>
        <w:t>形成了各小类基础地图要素。</w:t>
      </w:r>
      <w:r>
        <w:rPr>
          <w:rFonts w:hint="eastAsia"/>
          <w:color w:val="auto"/>
          <w:sz w:val="28"/>
          <w:szCs w:val="28"/>
          <w:highlight w:val="none"/>
          <w:lang w:val="en-US" w:eastAsia="zh-CN"/>
        </w:rPr>
        <w:t>小类后仍</w:t>
      </w:r>
      <w:r>
        <w:rPr>
          <w:rFonts w:hint="default" w:ascii="Times New Roman" w:hAnsi="Times New Roman"/>
          <w:color w:val="auto"/>
          <w:sz w:val="28"/>
          <w:szCs w:val="28"/>
          <w:highlight w:val="none"/>
          <w:lang w:val="en-US" w:eastAsia="zh-CN"/>
        </w:rPr>
        <w:t>可</w:t>
      </w:r>
      <w:r>
        <w:rPr>
          <w:rFonts w:hint="eastAsia"/>
          <w:color w:val="auto"/>
          <w:sz w:val="28"/>
          <w:szCs w:val="28"/>
          <w:highlight w:val="none"/>
          <w:lang w:val="en-US" w:eastAsia="zh-CN"/>
        </w:rPr>
        <w:t>继续细分的，分为子类，子类可由用户根据实际需要自定义扩充，本标准中不再进行子类层级的细分。</w:t>
      </w:r>
    </w:p>
    <w:p>
      <w:pPr>
        <w:bidi w:val="0"/>
        <w:rPr>
          <w:rFonts w:hint="default" w:ascii="Times New Roman" w:hAnsi="Times New Roman"/>
          <w:sz w:val="28"/>
          <w:szCs w:val="28"/>
          <w:lang w:val="en-US" w:eastAsia="zh-CN"/>
        </w:rPr>
      </w:pPr>
      <w:r>
        <w:rPr>
          <w:rFonts w:hint="eastAsia" w:ascii="Times New Roman" w:hAnsi="Times New Roman"/>
          <w:sz w:val="28"/>
          <w:szCs w:val="28"/>
          <w:lang w:val="en-US" w:eastAsia="zh-CN"/>
        </w:rPr>
        <w:t>综上</w:t>
      </w:r>
      <w:r>
        <w:rPr>
          <w:rFonts w:hint="eastAsia"/>
          <w:sz w:val="28"/>
          <w:szCs w:val="28"/>
          <w:lang w:val="en-US" w:eastAsia="zh-CN"/>
        </w:rPr>
        <w:t>所述</w:t>
      </w:r>
      <w:r>
        <w:rPr>
          <w:rFonts w:hint="eastAsia" w:ascii="Times New Roman" w:hAnsi="Times New Roman"/>
          <w:sz w:val="28"/>
          <w:szCs w:val="28"/>
          <w:lang w:val="en-US" w:eastAsia="zh-CN"/>
        </w:rPr>
        <w:t>，</w:t>
      </w:r>
      <w:r>
        <w:rPr>
          <w:rFonts w:hint="default" w:ascii="Times New Roman" w:hAnsi="Times New Roman"/>
          <w:color w:val="auto"/>
          <w:sz w:val="28"/>
          <w:szCs w:val="28"/>
          <w:highlight w:val="none"/>
          <w:lang w:val="en-US" w:eastAsia="zh-CN"/>
        </w:rPr>
        <w:t>根据</w:t>
      </w:r>
      <w:r>
        <w:rPr>
          <w:rFonts w:hint="default" w:ascii="Times New Roman" w:hAnsi="Times New Roman"/>
          <w:color w:val="auto"/>
          <w:sz w:val="28"/>
          <w:szCs w:val="28"/>
          <w:lang w:val="en-US" w:eastAsia="zh-CN"/>
        </w:rPr>
        <w:t>当前智能汽车基础地图应用的实际情况</w:t>
      </w:r>
      <w:r>
        <w:rPr>
          <w:rFonts w:hint="eastAsia"/>
          <w:color w:val="auto"/>
          <w:sz w:val="28"/>
          <w:szCs w:val="28"/>
          <w:lang w:val="en-US" w:eastAsia="zh-CN"/>
        </w:rPr>
        <w:t>进行了详细的</w:t>
      </w:r>
      <w:r>
        <w:rPr>
          <w:rFonts w:hint="eastAsia" w:ascii="Times New Roman" w:hAnsi="Times New Roman"/>
          <w:color w:val="auto"/>
          <w:sz w:val="28"/>
          <w:szCs w:val="28"/>
          <w:lang w:val="en-US" w:eastAsia="zh-CN"/>
        </w:rPr>
        <w:t>划分</w:t>
      </w:r>
      <w:r>
        <w:rPr>
          <w:rFonts w:hint="eastAsia"/>
          <w:color w:val="auto"/>
          <w:sz w:val="28"/>
          <w:szCs w:val="28"/>
          <w:lang w:val="en-US" w:eastAsia="zh-CN"/>
        </w:rPr>
        <w:t>，</w:t>
      </w:r>
      <w:r>
        <w:rPr>
          <w:rFonts w:hint="default" w:ascii="Times New Roman" w:hAnsi="Times New Roman"/>
          <w:sz w:val="28"/>
          <w:szCs w:val="28"/>
          <w:lang w:val="en-US" w:eastAsia="zh-CN"/>
        </w:rPr>
        <w:t>采用线分类法，类型按从属关系依次分为</w:t>
      </w:r>
      <w:r>
        <w:rPr>
          <w:rFonts w:hint="eastAsia"/>
          <w:sz w:val="28"/>
          <w:szCs w:val="28"/>
          <w:lang w:val="en-US" w:eastAsia="zh-CN"/>
        </w:rPr>
        <w:t>四</w:t>
      </w:r>
      <w:r>
        <w:rPr>
          <w:rFonts w:hint="default" w:ascii="Times New Roman" w:hAnsi="Times New Roman"/>
          <w:sz w:val="28"/>
          <w:szCs w:val="28"/>
          <w:lang w:val="en-US" w:eastAsia="zh-CN"/>
        </w:rPr>
        <w:t>级</w:t>
      </w:r>
      <w:r>
        <w:rPr>
          <w:rFonts w:hint="eastAsia"/>
          <w:sz w:val="28"/>
          <w:szCs w:val="28"/>
          <w:lang w:val="en-US" w:eastAsia="zh-CN"/>
        </w:rPr>
        <w:t>。</w:t>
      </w:r>
    </w:p>
    <w:p>
      <w:pPr>
        <w:pStyle w:val="5"/>
        <w:bidi w:val="0"/>
        <w:ind w:firstLine="480"/>
        <w:jc w:val="center"/>
        <w:rPr>
          <w:rFonts w:hint="default" w:ascii="Times New Roman" w:hAnsi="Times New Roman"/>
          <w:color w:val="auto"/>
          <w:sz w:val="28"/>
          <w:szCs w:val="28"/>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7</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w:t>
      </w:r>
      <w:r>
        <w:rPr>
          <w:rFonts w:hint="eastAsia" w:ascii="Times New Roman" w:hAnsi="Times New Roman" w:eastAsia="黑体" w:cs="Times New Roman"/>
          <w:kern w:val="0"/>
          <w:sz w:val="28"/>
          <w:szCs w:val="24"/>
        </w:rPr>
        <w:t>智能汽车基础地图要素分类</w:t>
      </w:r>
      <w:r>
        <w:rPr>
          <w:rFonts w:hint="eastAsia" w:ascii="Times New Roman" w:hAnsi="Times New Roman" w:cs="Times New Roman"/>
          <w:kern w:val="0"/>
          <w:sz w:val="28"/>
          <w:szCs w:val="24"/>
          <w:lang w:val="en-US" w:eastAsia="zh-CN"/>
        </w:rPr>
        <w:t>说明</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1"/>
        <w:gridCol w:w="1127"/>
        <w:gridCol w:w="3114"/>
        <w:gridCol w:w="2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blHeader/>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大类名称</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中类名称</w:t>
            </w: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小类及子类名称</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协调标准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道路静态要素</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道路网</w:t>
            </w: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道路结点</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》《智能驾驶高精度地图模型》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道路网路口</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普通入口</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环岛</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分合流路口</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主辅路出入口</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掉头口</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复合路口</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道路参考线</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GB/T28442—2012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导航电子地图数据分类与编码</w:t>
            </w:r>
            <w:r>
              <w:rPr>
                <w:rFonts w:hint="eastAsia" w:ascii="宋体" w:hAnsi="宋体" w:eastAsia="宋体" w:cs="宋体"/>
                <w:color w:val="000000"/>
                <w:kern w:val="0"/>
                <w:sz w:val="20"/>
                <w:szCs w:val="20"/>
                <w:u w:val="none"/>
                <w:lang w:eastAsia="zh-CN" w:bidi="ar"/>
              </w:rPr>
              <w:t>》、GB/T 13923-2022《基础地理信息要素分类与代码》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高速公路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专用公路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城市快速路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城市主干路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城市次干路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城市支路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内部道路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村道</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道路虚拟连接线</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车道网</w:t>
            </w: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车道结点</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》《智能驾驶高精度地图模型》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车道网路口</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车道参考线</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机动车道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非机动车道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特殊功能车道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车道虚拟连接线</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道路设施</w:t>
            </w: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道路标志</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GB+5768.2-2022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道路交通标志和标线 第2部分道路交通标志</w:t>
            </w:r>
            <w:r>
              <w:rPr>
                <w:rFonts w:hint="eastAsia" w:ascii="宋体" w:hAnsi="宋体" w:eastAsia="宋体" w:cs="宋体"/>
                <w:color w:val="000000"/>
                <w:kern w:val="0"/>
                <w:sz w:val="20"/>
                <w:szCs w:val="20"/>
                <w:u w:val="none"/>
                <w:lang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警告标志</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禁令标志</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指示标志</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指路标志</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旅游区标志</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告示标志</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辅助标志</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道路标线</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 5768.3-2009</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道路交通标志和标线第3部分道路交通标线</w:t>
            </w:r>
            <w:r>
              <w:rPr>
                <w:rFonts w:hint="eastAsia" w:ascii="宋体" w:hAnsi="宋体" w:eastAsia="宋体" w:cs="宋体"/>
                <w:color w:val="000000"/>
                <w:kern w:val="0"/>
                <w:sz w:val="20"/>
                <w:szCs w:val="20"/>
                <w:u w:val="none"/>
                <w:lang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指示标线</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禁止标线</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警告标线</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突起路标</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轮廓标</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安全防护设施</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》《智能驾驶高精度地图模型》JTGD81-2017《公路交通安全设施设计规范》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交通路障</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路缘石</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排水沟</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水泥墩</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防护网</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隔离桩</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桥柱</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闸机</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减速丘</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安全岛</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交通信号灯</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》《智能驾驶高精度地图模型》《城市道路交通设施设计规范》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道路感知设施</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》《城市道路交通设施设计规范》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摄像头</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激光雷达</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亳米波雷达</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超声波雷达</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复合检测器</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气象传感器</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能见度传感器</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路面状态传感器</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服务设施</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GB/T35648-2017</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地理信息兴趣点分类与编码</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GB/T28442—2012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导航电子地图数据分类与编码</w:t>
            </w:r>
            <w:r>
              <w:rPr>
                <w:rFonts w:hint="eastAsia" w:ascii="宋体" w:hAnsi="宋体" w:eastAsia="宋体" w:cs="宋体"/>
                <w:color w:val="000000"/>
                <w:kern w:val="0"/>
                <w:sz w:val="20"/>
                <w:szCs w:val="20"/>
                <w:u w:val="none"/>
                <w:lang w:eastAsia="zh-CN" w:bidi="ar"/>
              </w:rPr>
              <w:t>》</w:t>
            </w:r>
            <w:r>
              <w:rPr>
                <w:rFonts w:hint="eastAsia" w:ascii="宋体" w:hAnsi="宋体" w:eastAsia="宋体" w:cs="宋体"/>
                <w:i w:val="0"/>
                <w:iCs w:val="0"/>
                <w:color w:val="000000"/>
                <w:kern w:val="0"/>
                <w:sz w:val="20"/>
                <w:szCs w:val="20"/>
                <w:u w:val="none"/>
                <w:lang w:val="en-US" w:eastAsia="zh-CN" w:bidi="ar"/>
              </w:rPr>
              <w:t>《城市道路交通设施设计规范》《基础地理信息要素分类与代码》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消火栓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龙门架</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牌坊</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检查站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收费站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紧急电话亭</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人行天桥</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路内停车位</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公交站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地铁站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轻轨站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长途汽车站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停车场</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杆状物</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道路高精导航电子地图数据规范</w:t>
            </w: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交通信号灯杆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交通标志牌杆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电线杆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广告牌杆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龙门架杆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道路感知设施支撑杆</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道路反光镜支撑杆</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道路构造物</w:t>
            </w: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center"/>
              <w:rPr>
                <w:rFonts w:hint="eastAsia" w:ascii="宋体" w:hAnsi="宋体" w:eastAsia="宋体" w:cs="宋体"/>
                <w:i w:val="0"/>
                <w:iCs w:val="0"/>
                <w:color w:val="000000"/>
                <w:sz w:val="20"/>
                <w:szCs w:val="20"/>
                <w:u w:val="none"/>
              </w:rPr>
            </w:pP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JTGD81-2017《公路交通安全设施设计规范》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桥梁</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隧道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山洞</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兴趣点（POI）</w:t>
            </w:r>
          </w:p>
        </w:tc>
        <w:tc>
          <w:tcPr>
            <w:tcW w:w="190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GB/T28442—2012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导航电子地图数据分类与编码</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eastAsia="zh-CN" w:bidi="ar"/>
              </w:rPr>
              <w:tab/>
            </w:r>
            <w:r>
              <w:rPr>
                <w:rFonts w:hint="eastAsia" w:ascii="宋体" w:hAnsi="宋体" w:eastAsia="宋体" w:cs="宋体"/>
                <w:color w:val="000000"/>
                <w:kern w:val="0"/>
                <w:sz w:val="20"/>
                <w:szCs w:val="20"/>
                <w:u w:val="none"/>
                <w:lang w:eastAsia="zh-CN" w:bidi="ar"/>
              </w:rPr>
              <w:t>、GB/T 35648-2017《地理信息兴趣点分类与编码》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9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机关团体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文教卫生</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商业金融</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体育休闲娱乐</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公共传媒与通信</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加油站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充电/换电站</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服务区</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旅游景点</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背景环境</w:t>
            </w: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区域与边界</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行政区域</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GB/T28442—2012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导航电子地图数据分类与编码</w:t>
            </w:r>
            <w:r>
              <w:rPr>
                <w:rFonts w:hint="eastAsia" w:ascii="宋体" w:hAnsi="宋体" w:eastAsia="宋体" w:cs="宋体"/>
                <w:color w:val="000000"/>
                <w:kern w:val="0"/>
                <w:sz w:val="20"/>
                <w:szCs w:val="20"/>
                <w:u w:val="none"/>
                <w:lang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行政区域边界</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命名区域</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水系</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河流</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GB/T28442—2012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导航电子地图数据分类与编码</w:t>
            </w:r>
            <w:r>
              <w:rPr>
                <w:rFonts w:hint="eastAsia" w:ascii="宋体" w:hAnsi="宋体" w:eastAsia="宋体" w:cs="宋体"/>
                <w:color w:val="000000"/>
                <w:kern w:val="0"/>
                <w:sz w:val="20"/>
                <w:szCs w:val="20"/>
                <w:u w:val="none"/>
                <w:lang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运河</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渠</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湖泊</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水库</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池塘</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海洋</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岸线（水涯线）</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土地覆盖与土地利用</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u w:val="none"/>
                <w:lang w:bidi="ar"/>
              </w:rPr>
              <w:t>GB/T28442—2012</w:t>
            </w:r>
            <w:r>
              <w:rPr>
                <w:rFonts w:hint="eastAsia" w:ascii="宋体" w:hAnsi="宋体" w:eastAsia="宋体" w:cs="宋体"/>
                <w:color w:val="000000"/>
                <w:kern w:val="0"/>
                <w:sz w:val="20"/>
                <w:szCs w:val="20"/>
                <w:u w:val="none"/>
                <w:lang w:eastAsia="zh-CN" w:bidi="ar"/>
              </w:rPr>
              <w:t>《</w:t>
            </w:r>
            <w:r>
              <w:rPr>
                <w:rFonts w:hint="eastAsia" w:ascii="宋体" w:hAnsi="宋体" w:eastAsia="宋体" w:cs="宋体"/>
                <w:color w:val="000000"/>
                <w:kern w:val="0"/>
                <w:sz w:val="20"/>
                <w:szCs w:val="20"/>
                <w:u w:val="none"/>
                <w:lang w:bidi="ar"/>
              </w:rPr>
              <w:t>导航电子地图数据分类与编码</w:t>
            </w:r>
            <w:r>
              <w:rPr>
                <w:rFonts w:hint="eastAsia" w:ascii="宋体" w:hAnsi="宋体" w:eastAsia="宋体" w:cs="宋体"/>
                <w:color w:val="000000"/>
                <w:kern w:val="0"/>
                <w:sz w:val="20"/>
                <w:szCs w:val="20"/>
                <w:u w:val="none"/>
                <w:lang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街区</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建筑物</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绿地</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农林用地</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岛屿</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其他用地</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道路动态要素</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交通状况</w:t>
            </w: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交通管制</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《智能驾驶高精度地图模型》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交通流量</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交通拥堵</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交通信号灯变化</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交通限制</w:t>
            </w:r>
          </w:p>
        </w:tc>
        <w:tc>
          <w:tcPr>
            <w:tcW w:w="1422"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交通事件</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天气条件</w:t>
            </w: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实况天气</w:t>
            </w:r>
          </w:p>
        </w:tc>
        <w:tc>
          <w:tcPr>
            <w:tcW w:w="142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《智能驾驶高精度地图模型》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预报天气</w:t>
            </w:r>
          </w:p>
        </w:tc>
        <w:tc>
          <w:tcPr>
            <w:tcW w:w="142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车辆感知要素</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机动车</w:t>
            </w: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《智能驾驶高精度地图模型》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非机动车</w:t>
            </w: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vMerge w:val="continue"/>
            <w:tcBorders>
              <w:left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行人</w:t>
            </w: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vMerge w:val="continue"/>
            <w:tcBorders>
              <w:left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0"/>
                <w:szCs w:val="20"/>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pacing w:before="0" w:beforeAutospacing="0" w:after="0" w:afterAutospacing="0" w:line="400" w:lineRule="exact"/>
              <w:ind w:left="0" w:right="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障碍物</w:t>
            </w:r>
          </w:p>
        </w:tc>
        <w:tc>
          <w:tcPr>
            <w:tcW w:w="1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c>
          <w:tcPr>
            <w:tcW w:w="1422"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adjustRightInd w:val="0"/>
              <w:spacing w:before="0" w:beforeAutospacing="0" w:after="0" w:afterAutospacing="0" w:line="400" w:lineRule="exact"/>
              <w:ind w:left="0" w:right="0" w:firstLine="0" w:firstLineChars="0"/>
              <w:rPr>
                <w:rFonts w:hint="eastAsia" w:ascii="宋体" w:hAnsi="宋体" w:eastAsia="宋体" w:cs="宋体"/>
                <w:i w:val="0"/>
                <w:iCs w:val="0"/>
                <w:color w:val="000000"/>
                <w:sz w:val="24"/>
                <w:szCs w:val="24"/>
                <w:u w:val="none"/>
              </w:rPr>
            </w:pPr>
          </w:p>
        </w:tc>
      </w:tr>
    </w:tbl>
    <w:p>
      <w:pPr>
        <w:bidi w:val="0"/>
        <w:rPr>
          <w:rFonts w:hint="default" w:ascii="Times New Roman" w:hAnsi="Times New Roman"/>
          <w:sz w:val="28"/>
          <w:szCs w:val="28"/>
          <w:lang w:val="en-US" w:eastAsia="zh-CN"/>
        </w:rPr>
      </w:pPr>
      <w:r>
        <w:rPr>
          <w:rFonts w:hint="eastAsia"/>
          <w:sz w:val="28"/>
          <w:szCs w:val="28"/>
          <w:lang w:val="en-US" w:eastAsia="zh-CN"/>
        </w:rPr>
        <w:t>另外，还考虑到实际应用的复杂性和要素分类体系的拓展性，规定</w:t>
      </w:r>
      <w:r>
        <w:rPr>
          <w:rFonts w:hint="default" w:ascii="Times New Roman" w:hAnsi="Times New Roman"/>
          <w:sz w:val="28"/>
          <w:szCs w:val="28"/>
          <w:lang w:val="en-US" w:eastAsia="zh-CN"/>
        </w:rPr>
        <w:t>如有需要</w:t>
      </w:r>
      <w:r>
        <w:rPr>
          <w:rFonts w:hint="eastAsia" w:ascii="Times New Roman" w:hAnsi="Times New Roman"/>
          <w:sz w:val="28"/>
          <w:szCs w:val="28"/>
          <w:lang w:val="en-US" w:eastAsia="zh-CN"/>
        </w:rPr>
        <w:t>进行分类</w:t>
      </w:r>
      <w:r>
        <w:rPr>
          <w:rFonts w:hint="eastAsia"/>
          <w:sz w:val="28"/>
          <w:szCs w:val="28"/>
          <w:lang w:val="en-US" w:eastAsia="zh-CN"/>
        </w:rPr>
        <w:t>扩</w:t>
      </w:r>
      <w:r>
        <w:rPr>
          <w:rFonts w:hint="eastAsia" w:ascii="Times New Roman" w:hAnsi="Times New Roman"/>
          <w:sz w:val="28"/>
          <w:szCs w:val="28"/>
          <w:lang w:val="en-US" w:eastAsia="zh-CN"/>
        </w:rPr>
        <w:t>充</w:t>
      </w:r>
      <w:r>
        <w:rPr>
          <w:rFonts w:hint="default" w:ascii="Times New Roman" w:hAnsi="Times New Roman"/>
          <w:sz w:val="28"/>
          <w:szCs w:val="28"/>
          <w:lang w:val="en-US" w:eastAsia="zh-CN"/>
        </w:rPr>
        <w:t>，已有的大类、中类、小类不应重新定义</w:t>
      </w:r>
      <w:r>
        <w:rPr>
          <w:rFonts w:hint="eastAsia" w:ascii="Times New Roman" w:hAnsi="Times New Roman"/>
          <w:sz w:val="28"/>
          <w:szCs w:val="28"/>
          <w:lang w:val="en-US" w:eastAsia="zh-CN"/>
        </w:rPr>
        <w:t>。</w:t>
      </w:r>
      <w:r>
        <w:rPr>
          <w:rFonts w:hint="eastAsia"/>
          <w:sz w:val="28"/>
          <w:szCs w:val="28"/>
          <w:lang w:val="en-US" w:eastAsia="zh-CN"/>
        </w:rPr>
        <w:t>子</w:t>
      </w:r>
      <w:r>
        <w:rPr>
          <w:rFonts w:hint="eastAsia" w:ascii="Times New Roman" w:hAnsi="Times New Roman"/>
          <w:sz w:val="28"/>
          <w:szCs w:val="28"/>
          <w:lang w:val="en-US" w:eastAsia="zh-CN"/>
        </w:rPr>
        <w:t>类可以在同级相应分类上进行要素的扩充。</w:t>
      </w:r>
    </w:p>
    <w:p>
      <w:pPr>
        <w:pStyle w:val="49"/>
        <w:keepNext w:val="0"/>
        <w:keepLines w:val="0"/>
        <w:pageBreakBefore w:val="0"/>
        <w:widowControl w:val="0"/>
        <w:numPr>
          <w:ilvl w:val="0"/>
          <w:numId w:val="0"/>
        </w:numPr>
        <w:kinsoku/>
        <w:wordWrap/>
        <w:overflowPunct/>
        <w:topLinePunct w:val="0"/>
        <w:autoSpaceDE/>
        <w:autoSpaceDN/>
        <w:bidi w:val="0"/>
        <w:adjustRightInd w:val="0"/>
        <w:snapToGrid w:val="0"/>
        <w:ind w:firstLine="602" w:firstLineChars="200"/>
        <w:textAlignment w:val="auto"/>
        <w:outlineLvl w:val="3"/>
        <w:rPr>
          <w:rFonts w:hint="default" w:cs="Times New Roman"/>
          <w:b/>
          <w:kern w:val="2"/>
          <w:sz w:val="30"/>
          <w:szCs w:val="30"/>
          <w:lang w:val="en-US" w:eastAsia="zh-CN" w:bidi="ar-SA"/>
        </w:rPr>
      </w:pPr>
      <w:r>
        <w:rPr>
          <w:rFonts w:hint="eastAsia" w:cs="Times New Roman"/>
          <w:b/>
          <w:kern w:val="2"/>
          <w:sz w:val="30"/>
          <w:szCs w:val="30"/>
          <w:lang w:val="en-US" w:eastAsia="zh-CN" w:bidi="ar-SA"/>
        </w:rPr>
        <w:t>2.2.1.4</w:t>
      </w:r>
      <w:r>
        <w:rPr>
          <w:rFonts w:hint="default" w:cs="Times New Roman"/>
          <w:b/>
          <w:kern w:val="2"/>
          <w:sz w:val="30"/>
          <w:szCs w:val="30"/>
          <w:lang w:val="en-US" w:eastAsia="zh-CN" w:bidi="ar-SA"/>
        </w:rPr>
        <w:t>编码结构设计</w:t>
      </w:r>
    </w:p>
    <w:p>
      <w:pPr>
        <w:bidi w:val="0"/>
        <w:rPr>
          <w:rFonts w:hint="default" w:ascii="Times New Roman" w:hAnsi="Times New Roman"/>
          <w:sz w:val="28"/>
          <w:szCs w:val="21"/>
          <w:lang w:val="en-US" w:eastAsia="zh-CN"/>
        </w:rPr>
      </w:pPr>
      <w:r>
        <w:rPr>
          <w:rFonts w:hint="eastAsia" w:ascii="Times New Roman" w:hAnsi="Times New Roman"/>
          <w:sz w:val="28"/>
          <w:szCs w:val="21"/>
          <w:lang w:val="en-US" w:eastAsia="zh-CN"/>
        </w:rPr>
        <w:t>在分析现有</w:t>
      </w:r>
      <w:r>
        <w:rPr>
          <w:rFonts w:hint="eastAsia"/>
          <w:sz w:val="28"/>
          <w:szCs w:val="21"/>
          <w:lang w:val="en-US" w:eastAsia="zh-CN"/>
        </w:rPr>
        <w:t>分类和编码</w:t>
      </w:r>
      <w:r>
        <w:rPr>
          <w:rFonts w:hint="eastAsia" w:ascii="Times New Roman" w:hAnsi="Times New Roman"/>
          <w:sz w:val="28"/>
          <w:szCs w:val="21"/>
          <w:lang w:val="en-US" w:eastAsia="zh-CN"/>
        </w:rPr>
        <w:t>标准的基础上，根据要素总体上的三级分类体系，考虑每层次要素的数量，</w:t>
      </w:r>
      <w:r>
        <w:rPr>
          <w:rFonts w:hint="eastAsia"/>
          <w:sz w:val="28"/>
          <w:szCs w:val="21"/>
          <w:lang w:val="en-US" w:eastAsia="zh-CN"/>
        </w:rPr>
        <w:t>同时预留弹性拓展空间，最终</w:t>
      </w:r>
      <w:r>
        <w:rPr>
          <w:rFonts w:hint="eastAsia" w:ascii="Times New Roman" w:hAnsi="Times New Roman"/>
          <w:sz w:val="28"/>
          <w:szCs w:val="21"/>
          <w:lang w:val="en-US" w:eastAsia="zh-CN"/>
        </w:rPr>
        <w:t>确定分类编码。</w:t>
      </w:r>
    </w:p>
    <w:p>
      <w:pPr>
        <w:bidi w:val="0"/>
        <w:rPr>
          <w:rFonts w:hint="eastAsia" w:ascii="Times New Roman" w:hAnsi="Times New Roman"/>
          <w:sz w:val="28"/>
          <w:szCs w:val="21"/>
          <w:lang w:val="en-US" w:eastAsia="zh-CN"/>
        </w:rPr>
      </w:pPr>
      <w:r>
        <w:rPr>
          <w:rFonts w:hint="eastAsia" w:ascii="Times New Roman" w:hAnsi="Times New Roman"/>
          <w:sz w:val="28"/>
          <w:szCs w:val="21"/>
          <w:lang w:val="en-US" w:eastAsia="zh-CN"/>
        </w:rPr>
        <w:t>分类编码采用</w:t>
      </w:r>
      <w:r>
        <w:rPr>
          <w:rFonts w:hint="eastAsia"/>
          <w:sz w:val="28"/>
          <w:szCs w:val="21"/>
          <w:lang w:val="en-US" w:eastAsia="zh-CN"/>
        </w:rPr>
        <w:t>6</w:t>
      </w:r>
      <w:r>
        <w:rPr>
          <w:rFonts w:hint="eastAsia" w:ascii="Times New Roman" w:hAnsi="Times New Roman"/>
          <w:sz w:val="28"/>
          <w:szCs w:val="21"/>
          <w:lang w:val="en-US" w:eastAsia="zh-CN"/>
        </w:rPr>
        <w:t>位十进制数字码，分别为按数字顺序排列的大类、中类</w:t>
      </w:r>
      <w:r>
        <w:rPr>
          <w:rFonts w:hint="eastAsia"/>
          <w:sz w:val="28"/>
          <w:szCs w:val="21"/>
          <w:lang w:val="en-US" w:eastAsia="zh-CN"/>
        </w:rPr>
        <w:t>、</w:t>
      </w:r>
      <w:r>
        <w:rPr>
          <w:rFonts w:hint="eastAsia" w:ascii="Times New Roman" w:hAnsi="Times New Roman"/>
          <w:sz w:val="28"/>
          <w:szCs w:val="21"/>
          <w:lang w:val="en-US" w:eastAsia="zh-CN"/>
        </w:rPr>
        <w:t>小类</w:t>
      </w:r>
      <w:r>
        <w:rPr>
          <w:rFonts w:hint="eastAsia"/>
          <w:sz w:val="28"/>
          <w:szCs w:val="21"/>
          <w:lang w:val="en-US" w:eastAsia="zh-CN"/>
        </w:rPr>
        <w:t>和子类</w:t>
      </w:r>
      <w:r>
        <w:rPr>
          <w:rFonts w:hint="eastAsia" w:ascii="Times New Roman" w:hAnsi="Times New Roman"/>
          <w:sz w:val="28"/>
          <w:szCs w:val="21"/>
          <w:lang w:val="en-US" w:eastAsia="zh-CN"/>
        </w:rPr>
        <w:t>码。其中：左起第一位为大类码，左起第二位为中类码，左起第</w:t>
      </w:r>
      <w:r>
        <w:rPr>
          <w:rFonts w:hint="eastAsia"/>
          <w:sz w:val="28"/>
          <w:szCs w:val="21"/>
          <w:lang w:val="en-US" w:eastAsia="zh-CN"/>
        </w:rPr>
        <w:t>三</w:t>
      </w:r>
      <w:r>
        <w:rPr>
          <w:rFonts w:hint="eastAsia" w:ascii="Times New Roman" w:hAnsi="Times New Roman"/>
          <w:sz w:val="28"/>
          <w:szCs w:val="21"/>
          <w:lang w:val="en-US" w:eastAsia="zh-CN"/>
        </w:rPr>
        <w:t>、四位为小类码</w:t>
      </w:r>
      <w:r>
        <w:rPr>
          <w:rFonts w:hint="eastAsia"/>
          <w:sz w:val="28"/>
          <w:szCs w:val="21"/>
          <w:lang w:val="en-US" w:eastAsia="zh-CN"/>
        </w:rPr>
        <w:t>，</w:t>
      </w:r>
      <w:r>
        <w:rPr>
          <w:rFonts w:hint="eastAsia" w:ascii="Times New Roman" w:hAnsi="Times New Roman"/>
          <w:sz w:val="28"/>
          <w:szCs w:val="21"/>
          <w:lang w:val="en-US" w:eastAsia="zh-CN"/>
        </w:rPr>
        <w:t>左起第五、</w:t>
      </w:r>
      <w:r>
        <w:rPr>
          <w:rFonts w:hint="eastAsia"/>
          <w:sz w:val="28"/>
          <w:szCs w:val="21"/>
          <w:lang w:val="en-US" w:eastAsia="zh-CN"/>
        </w:rPr>
        <w:t>六</w:t>
      </w:r>
      <w:r>
        <w:rPr>
          <w:rFonts w:hint="eastAsia" w:ascii="Times New Roman" w:hAnsi="Times New Roman"/>
          <w:sz w:val="28"/>
          <w:szCs w:val="21"/>
          <w:lang w:val="en-US" w:eastAsia="zh-CN"/>
        </w:rPr>
        <w:t>位为</w:t>
      </w:r>
      <w:r>
        <w:rPr>
          <w:rFonts w:hint="eastAsia"/>
          <w:sz w:val="28"/>
          <w:szCs w:val="21"/>
          <w:lang w:val="en-US" w:eastAsia="zh-CN"/>
        </w:rPr>
        <w:t>子</w:t>
      </w:r>
      <w:r>
        <w:rPr>
          <w:rFonts w:hint="eastAsia" w:ascii="Times New Roman" w:hAnsi="Times New Roman"/>
          <w:sz w:val="28"/>
          <w:szCs w:val="21"/>
          <w:lang w:val="en-US" w:eastAsia="zh-CN"/>
        </w:rPr>
        <w:t>类码。</w:t>
      </w:r>
    </w:p>
    <w:p>
      <w:pPr>
        <w:bidi w:val="0"/>
        <w:rPr>
          <w:rFonts w:hint="eastAsia" w:ascii="Times New Roman" w:hAnsi="Times New Roman"/>
          <w:sz w:val="28"/>
          <w:szCs w:val="21"/>
          <w:lang w:val="en-US" w:eastAsia="zh-CN"/>
        </w:rPr>
      </w:pPr>
      <w:r>
        <w:rPr>
          <w:rFonts w:hint="eastAsia" w:ascii="Times New Roman" w:hAnsi="Times New Roman"/>
          <w:sz w:val="28"/>
          <w:szCs w:val="21"/>
          <w:lang w:val="en-US" w:eastAsia="zh-CN"/>
        </w:rPr>
        <w:t>已有的大类、中类、小类不应重新定义，应符合标准中的分类和编码。为了考虑实际应用的复杂性，小类</w:t>
      </w:r>
      <w:r>
        <w:rPr>
          <w:rFonts w:hint="eastAsia"/>
          <w:sz w:val="28"/>
          <w:szCs w:val="21"/>
          <w:lang w:val="en-US" w:eastAsia="zh-CN"/>
        </w:rPr>
        <w:t>及子</w:t>
      </w:r>
      <w:r>
        <w:rPr>
          <w:rFonts w:hint="eastAsia" w:ascii="Times New Roman" w:hAnsi="Times New Roman"/>
          <w:sz w:val="28"/>
          <w:szCs w:val="21"/>
          <w:lang w:val="en-US" w:eastAsia="zh-CN"/>
        </w:rPr>
        <w:t>类可在同级相应分类上进行要素和编码的扩充。</w:t>
      </w:r>
    </w:p>
    <w:p>
      <w:pPr>
        <w:pStyle w:val="49"/>
        <w:outlineLvl w:val="2"/>
        <w:rPr>
          <w:rFonts w:hint="default" w:cs="Times New Roman"/>
          <w:b/>
          <w:kern w:val="2"/>
          <w:sz w:val="30"/>
          <w:szCs w:val="30"/>
          <w:lang w:val="en-US" w:eastAsia="zh-CN" w:bidi="ar-SA"/>
        </w:rPr>
      </w:pPr>
      <w:bookmarkStart w:id="60" w:name="_Toc30735"/>
      <w:r>
        <w:rPr>
          <w:rFonts w:hint="eastAsia" w:cs="Times New Roman"/>
          <w:b/>
          <w:kern w:val="2"/>
          <w:sz w:val="30"/>
          <w:szCs w:val="30"/>
          <w:lang w:val="en-US" w:eastAsia="zh-CN" w:bidi="ar-SA"/>
        </w:rPr>
        <w:t>2.2.2重要章节</w:t>
      </w:r>
      <w:bookmarkEnd w:id="60"/>
      <w:r>
        <w:rPr>
          <w:rFonts w:hint="eastAsia" w:cs="Times New Roman"/>
          <w:b/>
          <w:kern w:val="2"/>
          <w:sz w:val="30"/>
          <w:szCs w:val="30"/>
          <w:lang w:val="en-US" w:eastAsia="zh-CN" w:bidi="ar-SA"/>
        </w:rPr>
        <w:t>编写和确定依据</w:t>
      </w:r>
    </w:p>
    <w:p>
      <w:pPr>
        <w:pStyle w:val="49"/>
        <w:numPr>
          <w:ilvl w:val="0"/>
          <w:numId w:val="0"/>
        </w:numPr>
        <w:ind w:firstLine="562" w:firstLineChars="200"/>
        <w:outlineLvl w:val="3"/>
        <w:rPr>
          <w:rFonts w:hint="eastAsia" w:cs="Times New Roman"/>
          <w:b/>
          <w:kern w:val="2"/>
          <w:sz w:val="28"/>
          <w:szCs w:val="28"/>
          <w:lang w:val="en-US" w:eastAsia="zh-CN" w:bidi="ar-SA"/>
        </w:rPr>
      </w:pPr>
      <w:r>
        <w:rPr>
          <w:rFonts w:hint="eastAsia"/>
          <w:b/>
          <w:bCs/>
          <w:sz w:val="28"/>
          <w:szCs w:val="28"/>
          <w:lang w:val="en-US" w:eastAsia="zh-CN"/>
        </w:rPr>
        <w:t>（</w:t>
      </w:r>
      <w:r>
        <w:rPr>
          <w:rFonts w:hint="eastAsia" w:ascii="仿宋" w:hAnsi="仿宋" w:eastAsia="仿宋" w:cs="Times New Roman"/>
          <w:b/>
          <w:kern w:val="2"/>
          <w:sz w:val="28"/>
          <w:szCs w:val="28"/>
          <w:lang w:val="en-US" w:eastAsia="zh-CN" w:bidi="ar-SA"/>
        </w:rPr>
        <w:t>1）</w:t>
      </w:r>
      <w:r>
        <w:rPr>
          <w:rFonts w:hint="eastAsia" w:cs="Times New Roman"/>
          <w:b/>
          <w:kern w:val="2"/>
          <w:sz w:val="28"/>
          <w:szCs w:val="28"/>
          <w:lang w:val="en-US" w:eastAsia="zh-CN" w:bidi="ar-SA"/>
        </w:rPr>
        <w:t>范围</w:t>
      </w:r>
    </w:p>
    <w:p>
      <w:pPr>
        <w:pStyle w:val="47"/>
        <w:adjustRightInd w:val="0"/>
        <w:snapToGrid w:val="0"/>
        <w:rPr>
          <w:rFonts w:hint="default"/>
          <w:color w:val="000000"/>
          <w:lang w:val="en-US" w:eastAsia="zh-CN"/>
        </w:rPr>
      </w:pPr>
      <w:r>
        <w:rPr>
          <w:rFonts w:hint="default"/>
          <w:color w:val="000000"/>
          <w:lang w:val="en-US" w:eastAsia="zh-CN"/>
        </w:rPr>
        <w:t>本文件确立了智能汽车基础地图要素的分类和编码原则，给出了要素的分类和编码方法、扩充规则及编码表。</w:t>
      </w:r>
    </w:p>
    <w:p>
      <w:pPr>
        <w:pStyle w:val="47"/>
        <w:adjustRightInd w:val="0"/>
        <w:snapToGrid w:val="0"/>
        <w:rPr>
          <w:rFonts w:hint="default"/>
          <w:color w:val="000000"/>
          <w:lang w:val="en-US" w:eastAsia="zh-CN"/>
        </w:rPr>
      </w:pPr>
      <w:r>
        <w:rPr>
          <w:rFonts w:hint="default"/>
          <w:color w:val="000000"/>
          <w:lang w:val="en-US" w:eastAsia="zh-CN"/>
        </w:rPr>
        <w:t>本文件适用于智能汽车基础地图要素的管理和交互。</w:t>
      </w:r>
    </w:p>
    <w:p>
      <w:pPr>
        <w:pStyle w:val="49"/>
        <w:numPr>
          <w:ilvl w:val="0"/>
          <w:numId w:val="0"/>
        </w:numPr>
        <w:ind w:firstLine="562"/>
        <w:outlineLvl w:val="3"/>
        <w:rPr>
          <w:rFonts w:hint="eastAsia"/>
          <w:bCs/>
          <w:sz w:val="28"/>
          <w:szCs w:val="28"/>
          <w:lang w:val="en-US" w:eastAsia="zh-CN"/>
        </w:rPr>
      </w:pPr>
      <w:r>
        <w:rPr>
          <w:rFonts w:hint="eastAsia"/>
          <w:bCs/>
          <w:sz w:val="28"/>
          <w:szCs w:val="28"/>
          <w:lang w:val="en-US" w:eastAsia="zh-CN"/>
        </w:rPr>
        <w:t>（2）规范性引用文件</w:t>
      </w:r>
    </w:p>
    <w:p>
      <w:pPr>
        <w:pStyle w:val="47"/>
        <w:adjustRightInd w:val="0"/>
        <w:snapToGrid w:val="0"/>
        <w:rPr>
          <w:rFonts w:hint="default"/>
          <w:color w:val="000000"/>
          <w:lang w:val="en-US" w:eastAsia="zh-CN"/>
        </w:rPr>
      </w:pPr>
      <w:r>
        <w:rPr>
          <w:rFonts w:hint="default"/>
          <w:color w:val="000000"/>
          <w:lang w:val="en-US" w:eastAsia="zh-CN"/>
        </w:rPr>
        <w:t>本文件没有规范性引用文件。</w:t>
      </w:r>
    </w:p>
    <w:p>
      <w:pPr>
        <w:pStyle w:val="49"/>
        <w:numPr>
          <w:ilvl w:val="0"/>
          <w:numId w:val="0"/>
        </w:numPr>
        <w:ind w:firstLine="562" w:firstLineChars="200"/>
        <w:outlineLvl w:val="3"/>
        <w:rPr>
          <w:rFonts w:hint="eastAsia"/>
          <w:b/>
          <w:bCs/>
          <w:sz w:val="28"/>
          <w:szCs w:val="28"/>
          <w:lang w:val="en-US" w:eastAsia="zh-CN"/>
        </w:rPr>
      </w:pPr>
      <w:r>
        <w:rPr>
          <w:rFonts w:hint="eastAsia"/>
          <w:b/>
          <w:bCs/>
          <w:sz w:val="28"/>
          <w:szCs w:val="28"/>
          <w:lang w:val="en-US" w:eastAsia="zh-CN"/>
        </w:rPr>
        <w:t>（3）术语和定义</w:t>
      </w:r>
    </w:p>
    <w:p>
      <w:pPr>
        <w:pStyle w:val="47"/>
        <w:adjustRightInd w:val="0"/>
        <w:snapToGrid w:val="0"/>
        <w:rPr>
          <w:rFonts w:hint="eastAsia"/>
          <w:color w:val="000000"/>
          <w:lang w:val="en-US" w:eastAsia="zh-CN"/>
        </w:rPr>
      </w:pPr>
      <w:r>
        <w:rPr>
          <w:rFonts w:hint="eastAsia"/>
          <w:color w:val="000000"/>
          <w:lang w:val="en-US" w:eastAsia="zh-CN"/>
        </w:rPr>
        <w:t>本文件定义了智能汽车基础地图、要素、要素类型3个术语及相关解释。这些术语和定义对于理解和应用本文件具有重要作用。</w:t>
      </w:r>
    </w:p>
    <w:p>
      <w:pPr>
        <w:pStyle w:val="5"/>
        <w:ind w:firstLine="480"/>
        <w:jc w:val="center"/>
        <w:rPr>
          <w:rFonts w:hint="default"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6</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术语和定义部分标准内容和确定依据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6"/>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center"/>
              <w:textAlignment w:val="auto"/>
              <w:rPr>
                <w:rFonts w:hint="default"/>
                <w:b/>
                <w:bCs/>
                <w:color w:val="000000"/>
                <w:sz w:val="24"/>
                <w:szCs w:val="24"/>
                <w:vertAlign w:val="baseline"/>
                <w:lang w:val="en-US" w:eastAsia="zh-CN"/>
              </w:rPr>
            </w:pPr>
            <w:r>
              <w:rPr>
                <w:rFonts w:hint="eastAsia"/>
                <w:b/>
                <w:bCs/>
                <w:color w:val="000000"/>
                <w:sz w:val="24"/>
                <w:szCs w:val="24"/>
                <w:vertAlign w:val="baseline"/>
                <w:lang w:val="en-US" w:eastAsia="zh-CN"/>
              </w:rPr>
              <w:t>标准内容</w:t>
            </w:r>
          </w:p>
        </w:tc>
        <w:tc>
          <w:tcPr>
            <w:tcW w:w="4210"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b/>
                <w:bCs/>
                <w:color w:val="000000"/>
                <w:sz w:val="24"/>
                <w:szCs w:val="24"/>
                <w:vertAlign w:val="baseline"/>
                <w:lang w:val="en-US" w:eastAsia="zh-CN"/>
              </w:rPr>
            </w:pPr>
            <w:r>
              <w:rPr>
                <w:rFonts w:hint="eastAsia"/>
                <w:b/>
                <w:bCs/>
                <w:color w:val="000000"/>
                <w:sz w:val="24"/>
                <w:szCs w:val="24"/>
                <w:vertAlign w:val="baseline"/>
                <w:lang w:val="en-US" w:eastAsia="zh-CN"/>
              </w:rPr>
              <w:t>标准依据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4236" w:type="dxa"/>
          </w:tcPr>
          <w:p>
            <w:pPr>
              <w:pStyle w:val="47"/>
              <w:keepNext w:val="0"/>
              <w:keepLines w:val="0"/>
              <w:suppressLineNumbers w:val="0"/>
              <w:shd w:val="clear" w:fill="FFFFFF" w:themeFill="background1"/>
              <w:adjustRightInd w:val="0"/>
              <w:snapToGrid w:val="0"/>
              <w:spacing w:before="0" w:beforeAutospacing="0" w:after="0" w:afterAutospacing="0"/>
              <w:ind w:left="0" w:leftChars="0" w:right="0" w:firstLine="0" w:firstLineChars="0"/>
              <w:jc w:val="left"/>
              <w:rPr>
                <w:rFonts w:hint="eastAsia"/>
                <w:color w:val="000000"/>
                <w:sz w:val="24"/>
                <w:szCs w:val="24"/>
                <w:highlight w:val="none"/>
                <w:lang w:val="en-US" w:eastAsia="zh-CN"/>
              </w:rPr>
            </w:pPr>
            <w:r>
              <w:rPr>
                <w:rFonts w:hint="eastAsia"/>
                <w:color w:val="000000"/>
                <w:sz w:val="24"/>
                <w:szCs w:val="24"/>
                <w:lang w:val="en-US" w:eastAsia="zh-CN"/>
              </w:rPr>
              <w:t xml:space="preserve">3.1智能汽车基础地图   intelligent </w:t>
            </w:r>
            <w:r>
              <w:rPr>
                <w:rFonts w:hint="eastAsia"/>
                <w:color w:val="000000"/>
                <w:sz w:val="24"/>
                <w:szCs w:val="24"/>
                <w:highlight w:val="none"/>
                <w:lang w:val="en-US" w:eastAsia="zh-CN"/>
              </w:rPr>
              <w:t>vehicle basic map</w:t>
            </w:r>
          </w:p>
          <w:p>
            <w:pPr>
              <w:pStyle w:val="47"/>
              <w:keepNext w:val="0"/>
              <w:keepLines w:val="0"/>
              <w:suppressLineNumbers w:val="0"/>
              <w:shd w:val="clear" w:fill="FFFFFF" w:themeFill="background1"/>
              <w:adjustRightInd w:val="0"/>
              <w:snapToGrid w:val="0"/>
              <w:spacing w:before="0" w:beforeAutospacing="0" w:after="0" w:afterAutospacing="0"/>
              <w:ind w:left="0" w:right="0"/>
              <w:jc w:val="left"/>
              <w:rPr>
                <w:rFonts w:hint="eastAsia"/>
                <w:color w:val="000000"/>
                <w:vertAlign w:val="baseline"/>
                <w:lang w:val="en-US" w:eastAsia="zh-CN"/>
              </w:rPr>
            </w:pPr>
            <w:r>
              <w:rPr>
                <w:rFonts w:hint="eastAsia" w:hAnsi="宋体" w:cs="宋体"/>
                <w:highlight w:val="none"/>
              </w:rPr>
              <w:t>可</w:t>
            </w:r>
            <w:r>
              <w:rPr>
                <w:rFonts w:hint="eastAsia"/>
                <w:highlight w:val="none"/>
              </w:rPr>
              <w:t>支撑汽车驾驶自动化系统的导航电子地图</w:t>
            </w:r>
            <w:r>
              <w:rPr>
                <w:rFonts w:hint="eastAsia"/>
                <w:color w:val="000000"/>
                <w:sz w:val="24"/>
                <w:szCs w:val="24"/>
                <w:highlight w:val="none"/>
                <w:lang w:val="en-US" w:eastAsia="zh-CN"/>
              </w:rPr>
              <w:t>。</w:t>
            </w:r>
          </w:p>
        </w:tc>
        <w:tc>
          <w:tcPr>
            <w:tcW w:w="4210" w:type="dxa"/>
          </w:tcPr>
          <w:p>
            <w:pPr>
              <w:pStyle w:val="47"/>
              <w:keepNext w:val="0"/>
              <w:keepLines w:val="0"/>
              <w:suppressLineNumbers w:val="0"/>
              <w:adjustRightInd w:val="0"/>
              <w:snapToGrid w:val="0"/>
              <w:spacing w:before="0" w:beforeAutospacing="0" w:after="0" w:afterAutospacing="0"/>
              <w:ind w:left="0" w:right="0"/>
              <w:rPr>
                <w:rFonts w:hint="eastAsia"/>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4236" w:type="dxa"/>
          </w:tcPr>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eastAsia"/>
                <w:color w:val="000000"/>
                <w:sz w:val="24"/>
                <w:szCs w:val="24"/>
                <w:lang w:val="en-US" w:eastAsia="zh-CN"/>
              </w:rPr>
            </w:pPr>
            <w:r>
              <w:rPr>
                <w:rFonts w:hint="eastAsia"/>
                <w:color w:val="000000"/>
                <w:sz w:val="24"/>
                <w:szCs w:val="24"/>
                <w:lang w:val="en-US" w:eastAsia="zh-CN"/>
              </w:rPr>
              <w:t>3.2 要素  feature</w:t>
            </w:r>
          </w:p>
          <w:p>
            <w:pPr>
              <w:pStyle w:val="47"/>
              <w:keepNext w:val="0"/>
              <w:keepLines w:val="0"/>
              <w:suppressLineNumbers w:val="0"/>
              <w:adjustRightInd w:val="0"/>
              <w:snapToGrid w:val="0"/>
              <w:spacing w:before="0" w:beforeAutospacing="0" w:after="0" w:afterAutospacing="0"/>
              <w:ind w:left="0" w:right="0"/>
              <w:jc w:val="left"/>
              <w:rPr>
                <w:rFonts w:hint="eastAsia"/>
                <w:color w:val="000000"/>
                <w:sz w:val="24"/>
                <w:szCs w:val="24"/>
                <w:lang w:val="en-US" w:eastAsia="zh-CN"/>
              </w:rPr>
            </w:pPr>
            <w:r>
              <w:rPr>
                <w:rFonts w:hint="eastAsia"/>
                <w:color w:val="000000"/>
                <w:sz w:val="24"/>
                <w:szCs w:val="24"/>
                <w:lang w:val="en-US" w:eastAsia="zh-CN"/>
              </w:rPr>
              <w:t>现实世界现象的抽象。</w:t>
            </w:r>
          </w:p>
          <w:p>
            <w:pPr>
              <w:pStyle w:val="47"/>
              <w:keepNext w:val="0"/>
              <w:keepLines w:val="0"/>
              <w:suppressLineNumbers w:val="0"/>
              <w:adjustRightInd w:val="0"/>
              <w:snapToGrid w:val="0"/>
              <w:spacing w:before="0" w:beforeAutospacing="0" w:after="0" w:afterAutospacing="0"/>
              <w:ind w:left="0" w:right="0"/>
              <w:jc w:val="left"/>
              <w:rPr>
                <w:rFonts w:hint="eastAsia"/>
                <w:color w:val="000000"/>
                <w:sz w:val="24"/>
                <w:szCs w:val="24"/>
                <w:lang w:val="en-US" w:eastAsia="zh-CN"/>
              </w:rPr>
            </w:pPr>
            <w:r>
              <w:rPr>
                <w:rFonts w:hint="eastAsia"/>
                <w:color w:val="000000"/>
                <w:sz w:val="24"/>
                <w:szCs w:val="24"/>
                <w:lang w:val="en-US" w:eastAsia="zh-CN"/>
              </w:rPr>
              <w:t>注：要素可以类型或实例的形式出现。当仅表达一种含义时，应使用要素类型或要素实例。</w:t>
            </w:r>
          </w:p>
        </w:tc>
        <w:tc>
          <w:tcPr>
            <w:tcW w:w="4210" w:type="dxa"/>
            <w:vAlign w:val="center"/>
          </w:tcPr>
          <w:p>
            <w:pPr>
              <w:pStyle w:val="47"/>
              <w:keepNext w:val="0"/>
              <w:keepLines w:val="0"/>
              <w:suppressLineNumbers w:val="0"/>
              <w:adjustRightInd w:val="0"/>
              <w:snapToGrid w:val="0"/>
              <w:spacing w:before="0" w:beforeAutospacing="0" w:after="0" w:afterAutospacing="0"/>
              <w:ind w:left="0" w:leftChars="0" w:right="0" w:firstLine="0" w:firstLineChars="0"/>
              <w:jc w:val="both"/>
              <w:rPr>
                <w:rFonts w:hint="eastAsia"/>
                <w:color w:val="000000"/>
                <w:sz w:val="24"/>
                <w:szCs w:val="24"/>
                <w:lang w:eastAsia="zh-CN"/>
              </w:rPr>
            </w:pPr>
            <w:r>
              <w:rPr>
                <w:rFonts w:hint="eastAsia"/>
                <w:color w:val="000000"/>
                <w:sz w:val="24"/>
                <w:szCs w:val="24"/>
              </w:rPr>
              <w:t>来源：GB/T 33188.1-2016，3.4.9</w:t>
            </w:r>
            <w:r>
              <w:rPr>
                <w:rFonts w:hint="eastAsia"/>
                <w:color w:val="000000"/>
                <w:sz w:val="24"/>
                <w:szCs w:val="24"/>
                <w:lang w:eastAsia="zh-CN"/>
              </w:rPr>
              <w:t>。</w:t>
            </w:r>
          </w:p>
          <w:p>
            <w:pPr>
              <w:pStyle w:val="47"/>
              <w:keepNext w:val="0"/>
              <w:keepLines w:val="0"/>
              <w:suppressLineNumbers w:val="0"/>
              <w:adjustRightInd w:val="0"/>
              <w:snapToGrid w:val="0"/>
              <w:spacing w:before="0" w:beforeAutospacing="0" w:after="0" w:afterAutospacing="0"/>
              <w:ind w:left="0" w:leftChars="0" w:right="0" w:firstLine="0" w:firstLineChars="0"/>
              <w:jc w:val="both"/>
              <w:rPr>
                <w:rFonts w:hint="eastAsia"/>
                <w:color w:val="000000"/>
                <w:sz w:val="24"/>
                <w:szCs w:val="24"/>
                <w:vertAlign w:val="baseline"/>
                <w:lang w:val="en-US" w:eastAsia="zh-CN"/>
              </w:rPr>
            </w:pPr>
            <w:r>
              <w:rPr>
                <w:rFonts w:hint="eastAsia"/>
                <w:color w:val="000000"/>
                <w:sz w:val="24"/>
                <w:szCs w:val="24"/>
                <w:vertAlign w:val="baseline"/>
                <w:lang w:val="en-US" w:eastAsia="zh-CN"/>
              </w:rPr>
              <w:t>本文件中对智能汽车基础地图要素大类分类，不光有静态要素，还有动态要素，对应的要素以类型或实例的形式出现。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36" w:type="dxa"/>
          </w:tcPr>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eastAsia"/>
                <w:color w:val="000000"/>
                <w:sz w:val="24"/>
                <w:szCs w:val="24"/>
                <w:lang w:val="en-US" w:eastAsia="zh-CN"/>
              </w:rPr>
            </w:pPr>
            <w:r>
              <w:rPr>
                <w:rFonts w:hint="eastAsia"/>
                <w:color w:val="000000"/>
                <w:sz w:val="24"/>
                <w:szCs w:val="24"/>
                <w:lang w:val="en-US" w:eastAsia="zh-CN"/>
              </w:rPr>
              <w:t>3.3要素类型  feature types</w:t>
            </w:r>
          </w:p>
          <w:p>
            <w:pPr>
              <w:pStyle w:val="47"/>
              <w:keepNext w:val="0"/>
              <w:keepLines w:val="0"/>
              <w:suppressLineNumbers w:val="0"/>
              <w:adjustRightInd w:val="0"/>
              <w:snapToGrid w:val="0"/>
              <w:spacing w:before="0" w:beforeAutospacing="0" w:after="0" w:afterAutospacing="0"/>
              <w:ind w:left="0" w:right="0"/>
              <w:jc w:val="left"/>
              <w:rPr>
                <w:rFonts w:hint="eastAsia"/>
                <w:color w:val="000000"/>
                <w:sz w:val="24"/>
                <w:szCs w:val="24"/>
                <w:lang w:val="en-US" w:eastAsia="zh-CN"/>
              </w:rPr>
            </w:pPr>
            <w:r>
              <w:rPr>
                <w:rFonts w:hint="eastAsia"/>
                <w:color w:val="000000"/>
                <w:sz w:val="24"/>
                <w:szCs w:val="24"/>
                <w:lang w:val="en-US" w:eastAsia="zh-CN"/>
              </w:rPr>
              <w:t>具有同类特征的现实世界地理对象的类型，即具有同类属性和相同几何特征的要素实例的集合。一个确定的要素类型是所有组成该要素类型实例的元类，简称“要素类”。</w:t>
            </w:r>
          </w:p>
        </w:tc>
        <w:tc>
          <w:tcPr>
            <w:tcW w:w="4210" w:type="dxa"/>
            <w:vAlign w:val="center"/>
          </w:tcPr>
          <w:p>
            <w:pPr>
              <w:pStyle w:val="47"/>
              <w:keepNext w:val="0"/>
              <w:keepLines w:val="0"/>
              <w:suppressLineNumbers w:val="0"/>
              <w:adjustRightInd w:val="0"/>
              <w:snapToGrid w:val="0"/>
              <w:spacing w:before="0" w:beforeAutospacing="0" w:after="0" w:afterAutospacing="0"/>
              <w:ind w:left="0" w:leftChars="0" w:right="0" w:firstLine="0" w:firstLineChars="0"/>
              <w:jc w:val="both"/>
              <w:rPr>
                <w:rFonts w:hint="eastAsia"/>
                <w:color w:val="000000"/>
                <w:sz w:val="24"/>
                <w:szCs w:val="24"/>
                <w:vertAlign w:val="baseline"/>
                <w:lang w:val="en-US" w:eastAsia="zh-CN"/>
              </w:rPr>
            </w:pPr>
            <w:r>
              <w:rPr>
                <w:rFonts w:hint="eastAsia"/>
                <w:color w:val="000000"/>
                <w:sz w:val="24"/>
                <w:szCs w:val="24"/>
                <w:lang w:val="en-US" w:eastAsia="zh-CN"/>
              </w:rPr>
              <w:t>来源：GB/T 25529-2010</w:t>
            </w:r>
          </w:p>
        </w:tc>
      </w:tr>
    </w:tbl>
    <w:p>
      <w:pPr>
        <w:pStyle w:val="49"/>
        <w:outlineLvl w:val="3"/>
        <w:rPr>
          <w:rFonts w:hint="eastAsia" w:cs="Times New Roman"/>
          <w:b/>
          <w:kern w:val="2"/>
          <w:sz w:val="28"/>
          <w:szCs w:val="28"/>
          <w:lang w:val="en-US" w:eastAsia="zh-CN" w:bidi="ar-SA"/>
        </w:rPr>
      </w:pPr>
      <w:r>
        <w:rPr>
          <w:rFonts w:hint="eastAsia"/>
          <w:b/>
          <w:bCs/>
          <w:sz w:val="28"/>
          <w:szCs w:val="28"/>
          <w:lang w:val="en-US" w:eastAsia="zh-CN"/>
        </w:rPr>
        <w:t>（</w:t>
      </w:r>
      <w:r>
        <w:rPr>
          <w:rFonts w:hint="eastAsia" w:cs="Times New Roman"/>
          <w:b/>
          <w:kern w:val="2"/>
          <w:sz w:val="28"/>
          <w:szCs w:val="28"/>
          <w:lang w:val="en-US" w:eastAsia="zh-CN" w:bidi="ar-SA"/>
        </w:rPr>
        <w:t>4</w:t>
      </w:r>
      <w:r>
        <w:rPr>
          <w:rFonts w:hint="default" w:cs="Times New Roman"/>
          <w:b/>
          <w:kern w:val="2"/>
          <w:sz w:val="28"/>
          <w:szCs w:val="28"/>
          <w:lang w:val="en-US" w:eastAsia="zh-CN" w:bidi="ar-SA"/>
        </w:rPr>
        <w:t>）</w:t>
      </w:r>
      <w:r>
        <w:rPr>
          <w:rFonts w:hint="eastAsia" w:cs="Times New Roman"/>
          <w:b/>
          <w:kern w:val="2"/>
          <w:sz w:val="28"/>
          <w:szCs w:val="28"/>
          <w:lang w:val="en-US" w:eastAsia="zh-CN" w:bidi="ar-SA"/>
        </w:rPr>
        <w:t>分类和编码原则</w:t>
      </w:r>
    </w:p>
    <w:p>
      <w:pPr>
        <w:pStyle w:val="47"/>
        <w:adjustRightInd w:val="0"/>
        <w:snapToGrid w:val="0"/>
        <w:rPr>
          <w:rFonts w:hint="eastAsia"/>
          <w:color w:val="000000"/>
          <w:sz w:val="28"/>
          <w:szCs w:val="28"/>
          <w:lang w:val="en-US" w:eastAsia="zh-CN"/>
        </w:rPr>
      </w:pPr>
      <w:r>
        <w:rPr>
          <w:rFonts w:hint="eastAsia"/>
          <w:color w:val="000000"/>
          <w:sz w:val="28"/>
          <w:szCs w:val="28"/>
          <w:lang w:val="en-US" w:eastAsia="zh-CN"/>
        </w:rPr>
        <w:t>对要素分类和编码的原则进行了规定。要素分类和编码遵循科学性、系统性、适用性、一致性和可拓展性。</w:t>
      </w:r>
    </w:p>
    <w:p>
      <w:pPr>
        <w:pStyle w:val="49"/>
        <w:outlineLvl w:val="3"/>
        <w:rPr>
          <w:rFonts w:hint="eastAsia" w:cs="Times New Roman"/>
          <w:b/>
          <w:kern w:val="2"/>
          <w:sz w:val="28"/>
          <w:szCs w:val="28"/>
          <w:lang w:val="en-US" w:eastAsia="zh-CN" w:bidi="ar-SA"/>
        </w:rPr>
      </w:pPr>
      <w:r>
        <w:rPr>
          <w:rFonts w:hint="eastAsia"/>
          <w:b/>
          <w:bCs/>
          <w:sz w:val="28"/>
          <w:szCs w:val="28"/>
          <w:lang w:val="en-US" w:eastAsia="zh-CN"/>
        </w:rPr>
        <w:t>（</w:t>
      </w:r>
      <w:r>
        <w:rPr>
          <w:rFonts w:hint="eastAsia" w:cs="Times New Roman"/>
          <w:b/>
          <w:kern w:val="2"/>
          <w:sz w:val="28"/>
          <w:szCs w:val="28"/>
          <w:lang w:val="en-US" w:eastAsia="zh-CN" w:bidi="ar-SA"/>
        </w:rPr>
        <w:t>5）要素分类</w:t>
      </w:r>
    </w:p>
    <w:p>
      <w:pPr>
        <w:pStyle w:val="47"/>
        <w:adjustRightInd w:val="0"/>
        <w:snapToGrid w:val="0"/>
        <w:rPr>
          <w:rFonts w:hint="eastAsia"/>
          <w:color w:val="000000"/>
          <w:sz w:val="28"/>
          <w:szCs w:val="28"/>
          <w:lang w:val="en-US" w:eastAsia="zh-CN"/>
        </w:rPr>
      </w:pPr>
      <w:r>
        <w:rPr>
          <w:rFonts w:hint="eastAsia"/>
          <w:color w:val="000000"/>
          <w:sz w:val="28"/>
          <w:szCs w:val="28"/>
          <w:lang w:val="en-US" w:eastAsia="zh-CN"/>
        </w:rPr>
        <w:t>对智能汽车基础地图中基本要素的分类进行描述，配合附录A和附录B使用。</w:t>
      </w:r>
    </w:p>
    <w:p>
      <w:pPr>
        <w:pStyle w:val="5"/>
        <w:ind w:firstLine="480"/>
        <w:jc w:val="center"/>
        <w:rPr>
          <w:rFonts w:hint="eastAsia"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7</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要素分类部分标准内容和确定依据</w:t>
      </w:r>
    </w:p>
    <w:tbl>
      <w:tblPr>
        <w:tblStyle w:val="18"/>
        <w:tblW w:w="8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2"/>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2"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center"/>
              <w:textAlignment w:val="auto"/>
              <w:rPr>
                <w:rFonts w:hint="default"/>
                <w:b/>
                <w:bCs/>
                <w:color w:val="000000"/>
                <w:sz w:val="24"/>
                <w:szCs w:val="24"/>
                <w:vertAlign w:val="baseline"/>
                <w:lang w:val="en-US" w:eastAsia="zh-CN"/>
              </w:rPr>
            </w:pPr>
            <w:r>
              <w:rPr>
                <w:rFonts w:hint="eastAsia"/>
                <w:b/>
                <w:bCs/>
                <w:color w:val="000000"/>
                <w:sz w:val="24"/>
                <w:szCs w:val="24"/>
                <w:vertAlign w:val="baseline"/>
                <w:lang w:val="en-US" w:eastAsia="zh-CN"/>
              </w:rPr>
              <w:t>标准内容</w:t>
            </w:r>
          </w:p>
        </w:tc>
        <w:tc>
          <w:tcPr>
            <w:tcW w:w="4294"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b/>
                <w:bCs/>
                <w:color w:val="000000"/>
                <w:sz w:val="24"/>
                <w:szCs w:val="24"/>
                <w:vertAlign w:val="baseline"/>
                <w:lang w:val="en-US" w:eastAsia="zh-CN"/>
              </w:rPr>
            </w:pPr>
            <w:r>
              <w:rPr>
                <w:rFonts w:hint="eastAsia"/>
                <w:b/>
                <w:bCs/>
                <w:color w:val="000000"/>
                <w:sz w:val="24"/>
                <w:szCs w:val="24"/>
                <w:vertAlign w:val="baseline"/>
                <w:lang w:val="en-US" w:eastAsia="zh-CN"/>
              </w:rPr>
              <w:t>标准依据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2" w:type="dxa"/>
          </w:tcPr>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eastAsia"/>
                <w:color w:val="000000"/>
                <w:sz w:val="24"/>
                <w:szCs w:val="24"/>
                <w:lang w:val="en-US" w:eastAsia="zh-CN"/>
              </w:rPr>
            </w:pPr>
            <w:r>
              <w:rPr>
                <w:rFonts w:hint="eastAsia"/>
                <w:color w:val="000000"/>
                <w:sz w:val="24"/>
                <w:szCs w:val="24"/>
                <w:lang w:val="en-US" w:eastAsia="zh-CN"/>
              </w:rPr>
              <w:t>5.1  要素分类采用线分类法，类型按从属关系依次分为四级：大类、中类、小类及子类。</w:t>
            </w:r>
          </w:p>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eastAsia"/>
                <w:color w:val="000000"/>
                <w:sz w:val="24"/>
                <w:szCs w:val="24"/>
                <w:lang w:val="en-US" w:eastAsia="zh-CN"/>
              </w:rPr>
            </w:pPr>
            <w:r>
              <w:rPr>
                <w:rFonts w:hint="eastAsia"/>
                <w:color w:val="000000"/>
                <w:sz w:val="24"/>
                <w:szCs w:val="24"/>
                <w:lang w:val="en-US" w:eastAsia="zh-CN"/>
              </w:rPr>
              <w:t xml:space="preserve">5.2  </w:t>
            </w:r>
            <w:r>
              <w:rPr>
                <w:rFonts w:hint="eastAsia"/>
                <w:color w:val="000000"/>
                <w:sz w:val="24"/>
                <w:szCs w:val="24"/>
              </w:rPr>
              <w:t>大类包括道路静态要素、道路动态要素、车辆感知要素3类</w:t>
            </w:r>
            <w:r>
              <w:rPr>
                <w:rFonts w:hint="eastAsia"/>
                <w:color w:val="000000"/>
                <w:sz w:val="24"/>
                <w:szCs w:val="24"/>
                <w:lang w:val="en-US" w:eastAsia="zh-CN"/>
              </w:rPr>
              <w:t>；大类包括道路静态要素、道路动态要素、车辆感知要素3类；中类在上述各大类基础上划分出12类，按附录A规定执行。</w:t>
            </w:r>
          </w:p>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eastAsia"/>
                <w:b/>
                <w:bCs/>
                <w:color w:val="000000"/>
                <w:sz w:val="24"/>
                <w:szCs w:val="24"/>
                <w:vertAlign w:val="baseline"/>
                <w:lang w:val="en-US" w:eastAsia="zh-CN"/>
              </w:rPr>
            </w:pPr>
            <w:r>
              <w:rPr>
                <w:rFonts w:hint="eastAsia"/>
                <w:color w:val="000000"/>
                <w:sz w:val="24"/>
                <w:szCs w:val="24"/>
                <w:lang w:val="en-US" w:eastAsia="zh-CN"/>
              </w:rPr>
              <w:t xml:space="preserve">5.3  </w:t>
            </w:r>
            <w:r>
              <w:rPr>
                <w:rFonts w:hint="eastAsia"/>
                <w:color w:val="000000"/>
                <w:sz w:val="24"/>
                <w:szCs w:val="24"/>
              </w:rPr>
              <w:t>小类及子类根据当前智能汽车基础地图应用的实际情况进行详细划分，按附录B规定执行。</w:t>
            </w:r>
          </w:p>
        </w:tc>
        <w:tc>
          <w:tcPr>
            <w:tcW w:w="4294" w:type="dxa"/>
            <w:vAlign w:val="center"/>
          </w:tcPr>
          <w:p>
            <w:pPr>
              <w:pStyle w:val="47"/>
              <w:keepNext w:val="0"/>
              <w:keepLines w:val="0"/>
              <w:suppressLineNumbers w:val="0"/>
              <w:adjustRightInd w:val="0"/>
              <w:snapToGrid w:val="0"/>
              <w:spacing w:before="0" w:beforeAutospacing="0" w:after="0" w:afterAutospacing="0"/>
              <w:ind w:left="0" w:right="0"/>
              <w:jc w:val="center"/>
              <w:rPr>
                <w:rFonts w:hint="eastAsia"/>
                <w:b/>
                <w:bCs/>
                <w:color w:val="000000"/>
                <w:sz w:val="24"/>
                <w:szCs w:val="24"/>
                <w:vertAlign w:val="baseline"/>
                <w:lang w:val="en-US" w:eastAsia="zh-CN"/>
              </w:rPr>
            </w:pPr>
            <w:r>
              <w:rPr>
                <w:rFonts w:hint="eastAsia"/>
                <w:color w:val="000000"/>
                <w:sz w:val="24"/>
                <w:szCs w:val="24"/>
                <w:lang w:val="en-US" w:eastAsia="zh-CN"/>
              </w:rPr>
              <w:t>确定依据见第2.2.1.3节说明。</w:t>
            </w:r>
          </w:p>
        </w:tc>
      </w:tr>
    </w:tbl>
    <w:p>
      <w:pPr>
        <w:pStyle w:val="49"/>
        <w:outlineLvl w:val="3"/>
        <w:rPr>
          <w:rFonts w:hint="eastAsia" w:cs="Times New Roman"/>
          <w:b/>
          <w:kern w:val="2"/>
          <w:sz w:val="28"/>
          <w:szCs w:val="28"/>
          <w:lang w:val="en-US" w:eastAsia="zh-CN" w:bidi="ar-SA"/>
        </w:rPr>
      </w:pPr>
      <w:r>
        <w:rPr>
          <w:rFonts w:hint="eastAsia"/>
          <w:b/>
          <w:bCs/>
          <w:sz w:val="28"/>
          <w:szCs w:val="28"/>
          <w:lang w:val="en-US" w:eastAsia="zh-CN"/>
        </w:rPr>
        <w:t>（</w:t>
      </w:r>
      <w:r>
        <w:rPr>
          <w:rFonts w:hint="eastAsia" w:cs="Times New Roman"/>
          <w:b/>
          <w:kern w:val="2"/>
          <w:sz w:val="28"/>
          <w:szCs w:val="28"/>
          <w:lang w:val="en-US" w:eastAsia="zh-CN" w:bidi="ar-SA"/>
        </w:rPr>
        <w:t>6）要素编码</w:t>
      </w:r>
    </w:p>
    <w:p>
      <w:pPr>
        <w:pStyle w:val="47"/>
        <w:adjustRightInd w:val="0"/>
        <w:snapToGrid w:val="0"/>
        <w:rPr>
          <w:rFonts w:hint="eastAsia"/>
          <w:color w:val="000000"/>
          <w:sz w:val="28"/>
          <w:szCs w:val="28"/>
          <w:lang w:val="en-US" w:eastAsia="zh-CN"/>
        </w:rPr>
      </w:pPr>
      <w:r>
        <w:rPr>
          <w:rFonts w:hint="eastAsia"/>
          <w:color w:val="000000"/>
          <w:sz w:val="28"/>
          <w:szCs w:val="28"/>
          <w:lang w:val="en-US" w:eastAsia="zh-CN"/>
        </w:rPr>
        <w:t>标准编制过程中，充分学习已有的分类编码标准。编码规则上借鉴</w:t>
      </w:r>
      <w:r>
        <w:rPr>
          <w:rFonts w:hint="eastAsia"/>
          <w:color w:val="000000"/>
        </w:rPr>
        <w:t>GB/T28442—2012《导航电子地图数据分类与编码》</w:t>
      </w:r>
      <w:r>
        <w:rPr>
          <w:rFonts w:hint="eastAsia"/>
          <w:color w:val="000000"/>
          <w:lang w:eastAsia="zh-CN"/>
        </w:rPr>
        <w:t>、</w:t>
      </w:r>
      <w:r>
        <w:rPr>
          <w:rFonts w:hint="eastAsia"/>
          <w:color w:val="000000"/>
          <w:sz w:val="28"/>
          <w:szCs w:val="28"/>
          <w:lang w:val="en-US" w:eastAsia="zh-CN"/>
        </w:rPr>
        <w:t>GB/T 36625.2-2018 《智慧城市 数据融合 第2部分：数据编码规范》等标准。</w:t>
      </w:r>
    </w:p>
    <w:p>
      <w:pPr>
        <w:pStyle w:val="5"/>
        <w:ind w:firstLine="480"/>
        <w:jc w:val="center"/>
        <w:rPr>
          <w:rFonts w:hint="eastAsia" w:ascii="Times New Roman" w:hAnsi="Times New Roman" w:eastAsia="黑体" w:cs="Times New Roman"/>
          <w:kern w:val="0"/>
          <w:sz w:val="28"/>
          <w:szCs w:val="24"/>
          <w:lang w:val="en-US" w:eastAsia="zh-CN"/>
        </w:rPr>
      </w:pPr>
      <w:r>
        <w:rPr>
          <w:rFonts w:ascii="Times New Roman" w:hAnsi="Times New Roman" w:eastAsia="黑体" w:cs="Times New Roman"/>
          <w:kern w:val="0"/>
          <w:sz w:val="28"/>
          <w:szCs w:val="24"/>
        </w:rPr>
        <w:t xml:space="preserve">表 </w:t>
      </w:r>
      <w:r>
        <w:rPr>
          <w:rFonts w:ascii="Times New Roman" w:hAnsi="Times New Roman" w:eastAsia="黑体" w:cs="Times New Roman"/>
          <w:kern w:val="0"/>
          <w:sz w:val="28"/>
          <w:szCs w:val="24"/>
        </w:rPr>
        <w:fldChar w:fldCharType="begin"/>
      </w:r>
      <w:r>
        <w:rPr>
          <w:rFonts w:ascii="Times New Roman" w:hAnsi="Times New Roman" w:eastAsia="黑体" w:cs="Times New Roman"/>
          <w:kern w:val="0"/>
          <w:sz w:val="28"/>
          <w:szCs w:val="24"/>
        </w:rPr>
        <w:instrText xml:space="preserve"> SEQ 表 \* ARABIC </w:instrText>
      </w:r>
      <w:r>
        <w:rPr>
          <w:rFonts w:ascii="Times New Roman" w:hAnsi="Times New Roman" w:eastAsia="黑体" w:cs="Times New Roman"/>
          <w:kern w:val="0"/>
          <w:sz w:val="28"/>
          <w:szCs w:val="24"/>
        </w:rPr>
        <w:fldChar w:fldCharType="separate"/>
      </w:r>
      <w:r>
        <w:rPr>
          <w:rFonts w:ascii="Times New Roman" w:hAnsi="Times New Roman" w:eastAsia="黑体" w:cs="Times New Roman"/>
          <w:kern w:val="0"/>
          <w:sz w:val="28"/>
          <w:szCs w:val="24"/>
        </w:rPr>
        <w:t>8</w:t>
      </w:r>
      <w:r>
        <w:rPr>
          <w:rFonts w:ascii="Times New Roman" w:hAnsi="Times New Roman" w:eastAsia="黑体" w:cs="Times New Roman"/>
          <w:kern w:val="0"/>
          <w:sz w:val="28"/>
          <w:szCs w:val="24"/>
        </w:rPr>
        <w:fldChar w:fldCharType="end"/>
      </w:r>
      <w:r>
        <w:rPr>
          <w:rFonts w:hint="eastAsia" w:ascii="Times New Roman" w:hAnsi="Times New Roman" w:eastAsia="黑体" w:cs="Times New Roman"/>
          <w:kern w:val="0"/>
          <w:sz w:val="28"/>
          <w:szCs w:val="24"/>
          <w:lang w:val="en-US" w:eastAsia="zh-CN"/>
        </w:rPr>
        <w:t xml:space="preserve">  要素编码部分标准内容和确定依据</w:t>
      </w:r>
    </w:p>
    <w:tbl>
      <w:tblPr>
        <w:tblStyle w:val="18"/>
        <w:tblW w:w="8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6"/>
        <w:gridCol w:w="4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36"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center"/>
              <w:textAlignment w:val="auto"/>
              <w:rPr>
                <w:rFonts w:hint="default"/>
                <w:b/>
                <w:bCs/>
                <w:color w:val="000000"/>
                <w:sz w:val="24"/>
                <w:szCs w:val="24"/>
                <w:vertAlign w:val="baseline"/>
                <w:lang w:val="en-US" w:eastAsia="zh-CN"/>
              </w:rPr>
            </w:pPr>
            <w:r>
              <w:rPr>
                <w:rFonts w:hint="eastAsia"/>
                <w:b/>
                <w:bCs/>
                <w:color w:val="000000"/>
                <w:sz w:val="24"/>
                <w:szCs w:val="24"/>
                <w:vertAlign w:val="baseline"/>
                <w:lang w:val="en-US" w:eastAsia="zh-CN"/>
              </w:rPr>
              <w:t>标准内容</w:t>
            </w:r>
          </w:p>
        </w:tc>
        <w:tc>
          <w:tcPr>
            <w:tcW w:w="4590" w:type="dxa"/>
          </w:tcPr>
          <w:p>
            <w:pPr>
              <w:pStyle w:val="47"/>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b/>
                <w:bCs/>
                <w:color w:val="000000"/>
                <w:sz w:val="24"/>
                <w:szCs w:val="24"/>
                <w:vertAlign w:val="baseline"/>
                <w:lang w:val="en-US" w:eastAsia="zh-CN"/>
              </w:rPr>
            </w:pPr>
            <w:r>
              <w:rPr>
                <w:rFonts w:hint="eastAsia"/>
                <w:b/>
                <w:bCs/>
                <w:color w:val="000000"/>
                <w:sz w:val="24"/>
                <w:szCs w:val="24"/>
                <w:vertAlign w:val="baseline"/>
                <w:lang w:val="en-US" w:eastAsia="zh-CN"/>
              </w:rPr>
              <w:t>标准依据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4236" w:type="dxa"/>
          </w:tcPr>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eastAsia" w:cs="Times New Roman"/>
                <w:color w:val="000000"/>
                <w:kern w:val="2"/>
                <w:sz w:val="24"/>
                <w:szCs w:val="24"/>
                <w:lang w:val="en-US" w:eastAsia="zh-CN" w:bidi="ar-SA"/>
              </w:rPr>
            </w:pPr>
            <w:r>
              <w:rPr>
                <w:rFonts w:hint="eastAsia" w:cs="Times New Roman"/>
                <w:color w:val="000000"/>
                <w:kern w:val="2"/>
                <w:sz w:val="24"/>
                <w:szCs w:val="24"/>
                <w:lang w:val="en-US" w:eastAsia="zh-CN" w:bidi="ar-SA"/>
              </w:rPr>
              <w:t>6.1  编码结构</w:t>
            </w:r>
          </w:p>
          <w:p>
            <w:pPr>
              <w:pStyle w:val="47"/>
              <w:keepNext w:val="0"/>
              <w:keepLines w:val="0"/>
              <w:suppressLineNumbers w:val="0"/>
              <w:adjustRightInd w:val="0"/>
              <w:snapToGrid w:val="0"/>
              <w:spacing w:before="0" w:beforeAutospacing="0" w:after="0" w:afterAutospacing="0"/>
              <w:ind w:left="0" w:leftChars="0" w:right="0" w:firstLine="0" w:firstLineChars="0"/>
              <w:jc w:val="left"/>
              <w:rPr>
                <w:rFonts w:hint="default"/>
                <w:color w:val="000000"/>
                <w:sz w:val="24"/>
                <w:szCs w:val="24"/>
                <w:lang w:val="en-US" w:eastAsia="zh-CN"/>
              </w:rPr>
            </w:pPr>
            <w:r>
              <w:rPr>
                <w:rFonts w:hint="eastAsia"/>
                <w:color w:val="000000"/>
                <w:sz w:val="24"/>
                <w:szCs w:val="24"/>
                <w:lang w:val="en-US" w:eastAsia="zh-CN"/>
              </w:rPr>
              <w:t>6.2  编码内容</w:t>
            </w:r>
          </w:p>
        </w:tc>
        <w:tc>
          <w:tcPr>
            <w:tcW w:w="4590" w:type="dxa"/>
            <w:vAlign w:val="center"/>
          </w:tcPr>
          <w:p>
            <w:pPr>
              <w:pStyle w:val="47"/>
              <w:keepNext w:val="0"/>
              <w:keepLines w:val="0"/>
              <w:suppressLineNumbers w:val="0"/>
              <w:adjustRightInd w:val="0"/>
              <w:snapToGrid w:val="0"/>
              <w:spacing w:before="0" w:beforeAutospacing="0" w:after="0" w:afterAutospacing="0"/>
              <w:ind w:left="0" w:right="0"/>
              <w:jc w:val="left"/>
              <w:rPr>
                <w:rFonts w:hint="eastAsia"/>
                <w:color w:val="000000"/>
                <w:sz w:val="24"/>
                <w:szCs w:val="24"/>
                <w:lang w:val="en-US" w:eastAsia="zh-CN"/>
              </w:rPr>
            </w:pPr>
            <w:r>
              <w:rPr>
                <w:rFonts w:hint="eastAsia"/>
                <w:color w:val="000000"/>
                <w:sz w:val="24"/>
                <w:szCs w:val="24"/>
                <w:lang w:val="en-US" w:eastAsia="zh-CN"/>
              </w:rPr>
              <w:t>确定依据见第2.2.1.4节说明。</w:t>
            </w:r>
          </w:p>
        </w:tc>
      </w:tr>
    </w:tbl>
    <w:p>
      <w:pPr>
        <w:pStyle w:val="49"/>
        <w:outlineLvl w:val="3"/>
        <w:rPr>
          <w:rFonts w:hint="eastAsia" w:cs="Times New Roman"/>
          <w:b/>
          <w:kern w:val="2"/>
          <w:sz w:val="28"/>
          <w:szCs w:val="28"/>
          <w:lang w:val="en-US" w:eastAsia="zh-CN" w:bidi="ar-SA"/>
        </w:rPr>
      </w:pPr>
      <w:r>
        <w:rPr>
          <w:rFonts w:hint="eastAsia"/>
          <w:b/>
          <w:bCs/>
          <w:sz w:val="28"/>
          <w:szCs w:val="28"/>
          <w:lang w:val="en-US" w:eastAsia="zh-CN"/>
        </w:rPr>
        <w:t>（</w:t>
      </w:r>
      <w:r>
        <w:rPr>
          <w:rFonts w:hint="eastAsia" w:cs="Times New Roman"/>
          <w:b/>
          <w:kern w:val="2"/>
          <w:sz w:val="28"/>
          <w:szCs w:val="28"/>
          <w:lang w:val="en-US" w:eastAsia="zh-CN" w:bidi="ar-SA"/>
        </w:rPr>
        <w:t>7</w:t>
      </w:r>
      <w:r>
        <w:rPr>
          <w:rFonts w:hint="default" w:cs="Times New Roman"/>
          <w:b/>
          <w:kern w:val="2"/>
          <w:sz w:val="28"/>
          <w:szCs w:val="28"/>
          <w:lang w:val="en-US" w:eastAsia="zh-CN" w:bidi="ar-SA"/>
        </w:rPr>
        <w:t>）</w:t>
      </w:r>
      <w:r>
        <w:rPr>
          <w:rFonts w:hint="eastAsia" w:cs="Times New Roman"/>
          <w:b/>
          <w:kern w:val="2"/>
          <w:sz w:val="28"/>
          <w:szCs w:val="28"/>
          <w:lang w:val="en-US" w:eastAsia="zh-CN" w:bidi="ar-SA"/>
        </w:rPr>
        <w:t>分类和编码扩充原则</w:t>
      </w:r>
    </w:p>
    <w:p>
      <w:pPr>
        <w:pStyle w:val="47"/>
        <w:adjustRightInd w:val="0"/>
        <w:snapToGrid w:val="0"/>
        <w:rPr>
          <w:rFonts w:hint="eastAsia"/>
          <w:color w:val="000000"/>
          <w:sz w:val="28"/>
          <w:szCs w:val="28"/>
          <w:lang w:val="en-US" w:eastAsia="zh-CN"/>
        </w:rPr>
      </w:pPr>
      <w:r>
        <w:rPr>
          <w:rFonts w:hint="eastAsia"/>
          <w:color w:val="000000"/>
          <w:sz w:val="28"/>
          <w:szCs w:val="28"/>
          <w:lang w:val="en-US" w:eastAsia="zh-CN"/>
        </w:rPr>
        <w:t>本标准名为《智能汽车基础地图要素分类和编码》，定义了智能汽车基础地图要素的分类和编码。在标准应用过程中可以根据实际需要进行拓展。</w:t>
      </w:r>
    </w:p>
    <w:p>
      <w:pPr>
        <w:pStyle w:val="47"/>
        <w:adjustRightInd w:val="0"/>
        <w:snapToGrid w:val="0"/>
        <w:rPr>
          <w:rFonts w:hint="eastAsia"/>
          <w:color w:val="000000"/>
          <w:sz w:val="28"/>
          <w:szCs w:val="28"/>
          <w:lang w:val="en-US" w:eastAsia="zh-CN"/>
        </w:rPr>
      </w:pPr>
      <w:r>
        <w:rPr>
          <w:rFonts w:hint="eastAsia"/>
          <w:color w:val="000000"/>
          <w:sz w:val="28"/>
          <w:szCs w:val="28"/>
          <w:lang w:val="en-US" w:eastAsia="zh-CN"/>
        </w:rPr>
        <w:t>要素的小类、子类应在同级的分类上进行扩展,扩展的小类和子类应归入相应的中类和小类</w:t>
      </w:r>
      <w:bookmarkStart w:id="69" w:name="_GoBack"/>
      <w:bookmarkEnd w:id="69"/>
      <w:r>
        <w:rPr>
          <w:rFonts w:hint="eastAsia"/>
          <w:color w:val="000000"/>
          <w:sz w:val="28"/>
          <w:szCs w:val="28"/>
          <w:lang w:val="en-US" w:eastAsia="zh-CN"/>
        </w:rPr>
        <w:t>。</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1" w:name="_Toc23684"/>
      <w:r>
        <w:rPr>
          <w:rFonts w:hint="eastAsia" w:ascii="黑体" w:hAnsi="黑体" w:eastAsia="黑体" w:cs="Times New Roman"/>
          <w:kern w:val="2"/>
          <w:sz w:val="32"/>
          <w:szCs w:val="32"/>
          <w:lang w:val="en-US" w:eastAsia="zh-CN" w:bidi="ar-SA"/>
        </w:rPr>
        <w:t>三、</w:t>
      </w:r>
      <w:r>
        <w:rPr>
          <w:rFonts w:hint="eastAsia" w:ascii="黑体" w:hAnsi="黑体" w:eastAsia="黑体"/>
          <w:lang w:eastAsia="zh-CN"/>
        </w:rPr>
        <w:t>试验验证的分析、综述报告，技术经济论证，预期的经济效益、社会效益和生态效益</w:t>
      </w:r>
      <w:bookmarkEnd w:id="61"/>
    </w:p>
    <w:p>
      <w:pPr>
        <w:pStyle w:val="47"/>
        <w:adjustRightInd w:val="0"/>
        <w:snapToGrid w:val="0"/>
        <w:rPr>
          <w:rFonts w:hint="eastAsia"/>
          <w:color w:val="000000"/>
          <w:sz w:val="28"/>
          <w:szCs w:val="28"/>
          <w:lang w:val="en-US" w:eastAsia="zh-CN"/>
        </w:rPr>
      </w:pPr>
      <w:r>
        <w:rPr>
          <w:rFonts w:hint="eastAsia"/>
          <w:color w:val="000000"/>
          <w:sz w:val="28"/>
          <w:szCs w:val="28"/>
          <w:lang w:val="en-US" w:eastAsia="zh-CN"/>
        </w:rPr>
        <w:t>编制组在本标准制定过程中进行了充分调研和广泛征求意见，吸取了相关单位的生产实践经验，与相关专业人员进行了交流和沟通，充分考虑和协调了各方的意见和要求。本标准在制定时充分考虑了新技术的发展，尽量弱化与具体技术方法有关的内容，并汲取普适的共性技术要求，以更好地指导执行，预期产生良好的社会效果与社会效益。</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2" w:name="_Toc9433"/>
      <w:r>
        <w:rPr>
          <w:rFonts w:hint="eastAsia" w:ascii="黑体" w:hAnsi="黑体" w:eastAsia="黑体" w:cs="Times New Roman"/>
          <w:kern w:val="2"/>
          <w:sz w:val="32"/>
          <w:szCs w:val="32"/>
          <w:lang w:val="en-US" w:eastAsia="zh-CN" w:bidi="ar-SA"/>
        </w:rPr>
        <w:t>四、</w:t>
      </w:r>
      <w:r>
        <w:rPr>
          <w:rFonts w:hint="eastAsia" w:ascii="黑体" w:hAnsi="黑体" w:eastAsia="黑体"/>
        </w:rPr>
        <w:t>采用国际标准和国外先进标准的程度，以及与国际、国外同类标准水平的对比情况，或与测试的国外样品、样机的有关数据对比情况</w:t>
      </w:r>
      <w:bookmarkEnd w:id="62"/>
    </w:p>
    <w:p>
      <w:pPr>
        <w:pStyle w:val="47"/>
        <w:rPr>
          <w:rFonts w:hint="eastAsia" w:ascii="仿宋" w:hAnsi="仿宋" w:cs="Times New Roman"/>
          <w:bCs w:val="0"/>
          <w:szCs w:val="28"/>
        </w:rPr>
      </w:pPr>
      <w:r>
        <w:rPr>
          <w:rFonts w:hint="eastAsia" w:ascii="仿宋" w:hAnsi="仿宋" w:cs="Times New Roman"/>
          <w:bCs w:val="0"/>
          <w:szCs w:val="28"/>
        </w:rPr>
        <w:t>经国家标准共享服务平台检索，根据相关国际标准、国外先进标准记录情况，制定《</w:t>
      </w:r>
      <w:r>
        <w:rPr>
          <w:rFonts w:hint="eastAsia" w:ascii="仿宋" w:hAnsi="仿宋" w:cs="Times New Roman"/>
          <w:bCs w:val="0"/>
          <w:szCs w:val="28"/>
          <w:lang w:eastAsia="zh-CN"/>
        </w:rPr>
        <w:t>智能汽车基础地图要素分类和编码</w:t>
      </w:r>
      <w:r>
        <w:rPr>
          <w:rFonts w:hint="eastAsia" w:ascii="仿宋" w:hAnsi="仿宋" w:cs="Times New Roman"/>
          <w:bCs w:val="0"/>
          <w:szCs w:val="28"/>
        </w:rPr>
        <w:t>》以补充国内相关领域的研究内容。</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cs="Times New Roman"/>
          <w:bCs w:val="0"/>
          <w:color w:val="000000"/>
          <w:szCs w:val="32"/>
        </w:rPr>
      </w:pPr>
      <w:bookmarkStart w:id="63" w:name="_Toc28456"/>
      <w:r>
        <w:rPr>
          <w:rFonts w:hint="eastAsia" w:ascii="黑体" w:hAnsi="黑体" w:eastAsia="黑体" w:cs="Times New Roman"/>
          <w:bCs w:val="0"/>
          <w:kern w:val="2"/>
          <w:sz w:val="32"/>
          <w:szCs w:val="32"/>
          <w:lang w:val="en-US" w:eastAsia="zh-CN" w:bidi="ar-SA"/>
        </w:rPr>
        <w:t>五、</w:t>
      </w:r>
      <w:r>
        <w:rPr>
          <w:rFonts w:hint="eastAsia" w:ascii="黑体" w:hAnsi="黑体" w:eastAsia="黑体" w:cs="Times New Roman"/>
          <w:bCs w:val="0"/>
          <w:color w:val="000000"/>
          <w:szCs w:val="32"/>
        </w:rPr>
        <w:t>以国际标准为基础的起草情况，以及是否合规引用或者采用国际国外标准，并说明未采用国际标准的原因；</w:t>
      </w:r>
      <w:bookmarkEnd w:id="63"/>
    </w:p>
    <w:p>
      <w:pPr>
        <w:pStyle w:val="47"/>
        <w:rPr>
          <w:rFonts w:hint="eastAsia" w:ascii="仿宋" w:hAnsi="仿宋" w:cs="Times New Roman"/>
          <w:color w:val="000000"/>
          <w:szCs w:val="28"/>
        </w:rPr>
      </w:pPr>
      <w:r>
        <w:rPr>
          <w:rFonts w:hint="eastAsia" w:ascii="仿宋" w:hAnsi="仿宋" w:cs="Times New Roman"/>
          <w:bCs w:val="0"/>
          <w:color w:val="000000"/>
          <w:szCs w:val="28"/>
        </w:rPr>
        <w:t>经国家标准共享服务平台检索，尚未有相关国际标准、他国国家标准记录情况。故没有引用或者采用国际国外标准。</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4" w:name="_Toc22789"/>
      <w:r>
        <w:rPr>
          <w:rFonts w:hint="eastAsia" w:ascii="黑体" w:hAnsi="黑体" w:eastAsia="黑体" w:cs="Times New Roman"/>
          <w:kern w:val="2"/>
          <w:sz w:val="32"/>
          <w:szCs w:val="32"/>
          <w:lang w:val="en-US" w:eastAsia="zh-CN" w:bidi="ar-SA"/>
        </w:rPr>
        <w:t>六、</w:t>
      </w:r>
      <w:r>
        <w:rPr>
          <w:rFonts w:hint="eastAsia" w:ascii="黑体" w:hAnsi="黑体" w:eastAsia="黑体"/>
        </w:rPr>
        <w:t>与有关的现行法律、法规和强制性标准的关系</w:t>
      </w:r>
      <w:bookmarkEnd w:id="64"/>
      <w:r>
        <w:rPr>
          <w:rFonts w:hint="eastAsia" w:ascii="黑体" w:hAnsi="黑体" w:eastAsia="黑体"/>
        </w:rPr>
        <w:t xml:space="preserve"> </w:t>
      </w:r>
    </w:p>
    <w:p>
      <w:pPr>
        <w:pStyle w:val="47"/>
        <w:rPr>
          <w:rFonts w:hint="eastAsia" w:ascii="仿宋" w:hAnsi="仿宋" w:eastAsia="仿宋" w:cs="Times New Roman"/>
          <w:color w:val="000000"/>
          <w:kern w:val="2"/>
          <w:sz w:val="28"/>
          <w:szCs w:val="28"/>
          <w:lang w:eastAsia="zh-CN"/>
        </w:rPr>
      </w:pPr>
      <w:r>
        <w:rPr>
          <w:rFonts w:hint="eastAsia" w:ascii="仿宋" w:hAnsi="仿宋" w:eastAsia="仿宋" w:cs="Times New Roman"/>
          <w:color w:val="000000"/>
          <w:kern w:val="2"/>
          <w:sz w:val="28"/>
          <w:szCs w:val="28"/>
          <w:lang w:val="en-US" w:eastAsia="zh-CN"/>
        </w:rPr>
        <w:t>本标准</w:t>
      </w:r>
      <w:r>
        <w:rPr>
          <w:rFonts w:hint="eastAsia" w:ascii="仿宋" w:hAnsi="仿宋" w:eastAsia="仿宋" w:cs="Times New Roman"/>
          <w:color w:val="000000"/>
          <w:kern w:val="2"/>
          <w:sz w:val="28"/>
          <w:szCs w:val="28"/>
          <w:lang w:eastAsia="zh-CN"/>
        </w:rPr>
        <w:t>与我国现行的法律法规、强制性标准协调，无冲突。</w:t>
      </w:r>
    </w:p>
    <w:p>
      <w:pPr>
        <w:pStyle w:val="47"/>
        <w:adjustRightInd w:val="0"/>
        <w:snapToGrid w:val="0"/>
        <w:rPr>
          <w:rFonts w:hint="eastAsia" w:ascii="仿宋" w:hAnsi="仿宋" w:cs="Times New Roman"/>
          <w:color w:val="000000"/>
          <w:szCs w:val="28"/>
        </w:rPr>
      </w:pPr>
      <w:r>
        <w:rPr>
          <w:rFonts w:hint="eastAsia" w:ascii="仿宋" w:hAnsi="仿宋" w:cs="Times New Roman"/>
          <w:color w:val="000000"/>
          <w:szCs w:val="28"/>
        </w:rPr>
        <w:t>本标准依据《中华人民共和国测绘法</w:t>
      </w:r>
      <w:r>
        <w:rPr>
          <w:rFonts w:hint="eastAsia" w:cs="Times New Roman"/>
          <w:color w:val="000000"/>
          <w:szCs w:val="28"/>
          <w:lang w:eastAsia="zh-CN"/>
        </w:rPr>
        <w:t>》《</w:t>
      </w:r>
      <w:r>
        <w:rPr>
          <w:rFonts w:hint="eastAsia" w:ascii="仿宋" w:hAnsi="仿宋" w:cs="Times New Roman"/>
          <w:color w:val="000000"/>
          <w:szCs w:val="28"/>
        </w:rPr>
        <w:t>中华人民共和国测绘成果管理条例》等法律法规，按照GB/T 1.1</w:t>
      </w:r>
      <w:r>
        <w:rPr>
          <w:rFonts w:hint="eastAsia" w:cs="Times New Roman"/>
          <w:color w:val="000000"/>
          <w:szCs w:val="28"/>
          <w:lang w:eastAsia="zh-CN"/>
        </w:rPr>
        <w:t>—</w:t>
      </w:r>
      <w:r>
        <w:rPr>
          <w:rFonts w:hint="eastAsia" w:ascii="仿宋" w:hAnsi="仿宋" w:cs="Times New Roman"/>
          <w:color w:val="000000"/>
          <w:szCs w:val="28"/>
        </w:rPr>
        <w:t>2020《标准化工作导则 第1部分：标准化文件的结构和起草规则》的规定起草。</w:t>
      </w:r>
    </w:p>
    <w:p>
      <w:pPr>
        <w:pStyle w:val="47"/>
        <w:adjustRightInd w:val="0"/>
        <w:snapToGrid w:val="0"/>
        <w:rPr>
          <w:rFonts w:hint="eastAsia" w:ascii="仿宋" w:hAnsi="仿宋" w:cs="Times New Roman"/>
          <w:color w:val="000000"/>
          <w:szCs w:val="28"/>
        </w:rPr>
      </w:pPr>
      <w:r>
        <w:rPr>
          <w:rFonts w:hint="eastAsia" w:ascii="仿宋" w:hAnsi="仿宋" w:cs="Times New Roman"/>
          <w:color w:val="000000"/>
          <w:szCs w:val="28"/>
        </w:rPr>
        <w:t>本标准应符合《</w:t>
      </w:r>
      <w:r>
        <w:rPr>
          <w:rFonts w:hint="eastAsia" w:cs="Times New Roman"/>
          <w:color w:val="000000"/>
          <w:szCs w:val="28"/>
          <w:lang w:eastAsia="zh-CN"/>
        </w:rPr>
        <w:t>中华人民共和国测绘成果管理条例</w:t>
      </w:r>
      <w:r>
        <w:rPr>
          <w:rFonts w:hint="eastAsia" w:ascii="仿宋" w:hAnsi="仿宋" w:cs="Times New Roman"/>
          <w:color w:val="000000"/>
          <w:szCs w:val="28"/>
        </w:rPr>
        <w:t>》《测绘管理工作国家秘密范围规定</w:t>
      </w:r>
      <w:r>
        <w:rPr>
          <w:rFonts w:hint="eastAsia" w:cs="Times New Roman"/>
          <w:color w:val="000000"/>
          <w:szCs w:val="28"/>
          <w:lang w:eastAsia="zh-CN"/>
        </w:rPr>
        <w:t>》</w:t>
      </w:r>
      <w:r>
        <w:rPr>
          <w:rFonts w:hint="eastAsia" w:ascii="仿宋" w:hAnsi="仿宋" w:cs="Times New Roman"/>
          <w:color w:val="000000"/>
          <w:szCs w:val="28"/>
        </w:rPr>
        <w:t>《关于导航电子地图管理有关规定的通知》</w:t>
      </w:r>
      <w:r>
        <w:rPr>
          <w:rFonts w:hint="eastAsia" w:cs="Times New Roman"/>
          <w:color w:val="000000"/>
          <w:szCs w:val="28"/>
          <w:lang w:eastAsia="zh-CN"/>
        </w:rPr>
        <w:t>《</w:t>
      </w:r>
      <w:r>
        <w:rPr>
          <w:rFonts w:hint="eastAsia" w:ascii="仿宋" w:hAnsi="仿宋" w:cs="Times New Roman"/>
          <w:color w:val="000000"/>
          <w:szCs w:val="28"/>
        </w:rPr>
        <w:t>导航地理数据模型与交换格式》《道路交通标志和标线》《道路高精导航电子地图数据规范》《导航电子地图安全处理技术基本要求》等的相关规定。</w:t>
      </w:r>
    </w:p>
    <w:p>
      <w:pPr>
        <w:bidi w:val="0"/>
        <w:rPr>
          <w:rFonts w:hint="eastAsia" w:ascii="仿宋" w:hAnsi="仿宋" w:eastAsia="仿宋" w:cs="Times New Roman"/>
          <w:color w:val="000000"/>
          <w:kern w:val="2"/>
          <w:sz w:val="28"/>
          <w:szCs w:val="28"/>
          <w:lang w:val="en-US" w:eastAsia="zh-CN"/>
        </w:rPr>
      </w:pPr>
      <w:r>
        <w:rPr>
          <w:rFonts w:hint="default" w:ascii="Times New Roman" w:hAnsi="Times New Roman"/>
          <w:sz w:val="28"/>
          <w:szCs w:val="21"/>
          <w:lang w:val="en-US" w:eastAsia="zh-CN"/>
        </w:rPr>
        <w:t>与本标准相关的强制性标准包括《GB 5768.2 道路交通标志和标线 第 2 部分：道路交通标志</w:t>
      </w:r>
      <w:r>
        <w:rPr>
          <w:rFonts w:hint="eastAsia" w:ascii="Times New Roman" w:hAnsi="Times New Roman"/>
          <w:sz w:val="28"/>
          <w:szCs w:val="21"/>
          <w:lang w:val="en-US" w:eastAsia="zh-CN"/>
        </w:rPr>
        <w:t>》《</w:t>
      </w:r>
      <w:r>
        <w:rPr>
          <w:rFonts w:hint="default" w:ascii="Times New Roman" w:hAnsi="Times New Roman"/>
          <w:sz w:val="28"/>
          <w:szCs w:val="21"/>
          <w:lang w:val="en-US" w:eastAsia="zh-CN"/>
        </w:rPr>
        <w:t>GB 5768.3 道路交通标志和标线 第 3部分：道路交通标线</w:t>
      </w:r>
      <w:r>
        <w:rPr>
          <w:rFonts w:hint="eastAsia" w:ascii="Times New Roman" w:hAnsi="Times New Roman"/>
          <w:sz w:val="28"/>
          <w:szCs w:val="21"/>
          <w:lang w:val="en-US" w:eastAsia="zh-CN"/>
        </w:rPr>
        <w:t>》《</w:t>
      </w:r>
      <w:r>
        <w:rPr>
          <w:rFonts w:hint="default" w:ascii="Times New Roman" w:hAnsi="Times New Roman"/>
          <w:sz w:val="28"/>
          <w:szCs w:val="21"/>
          <w:lang w:val="en-US" w:eastAsia="zh-CN"/>
        </w:rPr>
        <w:t>GB 51038 城市道路交通标志和标线设置规范》三项。本标准</w:t>
      </w:r>
      <w:r>
        <w:rPr>
          <w:rFonts w:hint="eastAsia" w:ascii="Times New Roman" w:eastAsia="仿宋"/>
          <w:sz w:val="28"/>
          <w:szCs w:val="21"/>
          <w:lang w:val="en-US" w:eastAsia="zh-CN"/>
        </w:rPr>
        <w:t>在</w:t>
      </w:r>
      <w:r>
        <w:rPr>
          <w:rFonts w:hint="eastAsia"/>
          <w:sz w:val="28"/>
          <w:szCs w:val="21"/>
          <w:lang w:val="en-US" w:eastAsia="zh-CN"/>
        </w:rPr>
        <w:t>要素的划分，尤其是</w:t>
      </w:r>
      <w:r>
        <w:rPr>
          <w:rFonts w:hint="eastAsia" w:ascii="Times New Roman" w:eastAsia="仿宋"/>
          <w:sz w:val="28"/>
          <w:szCs w:val="21"/>
          <w:lang w:val="en-US" w:eastAsia="zh-CN"/>
        </w:rPr>
        <w:t>小类的划分上</w:t>
      </w:r>
      <w:r>
        <w:rPr>
          <w:rFonts w:hint="default" w:ascii="Times New Roman" w:hAnsi="Times New Roman"/>
          <w:sz w:val="28"/>
          <w:szCs w:val="21"/>
          <w:lang w:val="en-US" w:eastAsia="zh-CN"/>
        </w:rPr>
        <w:t>与该三项标准保持协调一致。</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5" w:name="_Toc26883"/>
      <w:r>
        <w:rPr>
          <w:rFonts w:hint="eastAsia" w:ascii="黑体" w:hAnsi="黑体" w:eastAsia="黑体" w:cs="Times New Roman"/>
          <w:kern w:val="2"/>
          <w:sz w:val="32"/>
          <w:szCs w:val="32"/>
          <w:lang w:val="en-US" w:eastAsia="zh-CN" w:bidi="ar-SA"/>
        </w:rPr>
        <w:t>七、</w:t>
      </w:r>
      <w:r>
        <w:rPr>
          <w:rFonts w:hint="eastAsia" w:ascii="黑体" w:hAnsi="黑体" w:eastAsia="黑体"/>
        </w:rPr>
        <w:t>重大分歧意见的处理经过和依据</w:t>
      </w:r>
      <w:bookmarkEnd w:id="65"/>
      <w:r>
        <w:rPr>
          <w:rFonts w:hint="eastAsia" w:ascii="黑体" w:hAnsi="黑体" w:eastAsia="黑体"/>
        </w:rPr>
        <w:t xml:space="preserve"> </w:t>
      </w:r>
    </w:p>
    <w:p>
      <w:pPr>
        <w:pStyle w:val="47"/>
        <w:rPr>
          <w:rFonts w:hint="eastAsia" w:ascii="仿宋" w:hAnsi="仿宋" w:cs="Times New Roman"/>
          <w:color w:val="000000"/>
          <w:szCs w:val="30"/>
        </w:rPr>
      </w:pPr>
      <w:r>
        <w:rPr>
          <w:rFonts w:hint="eastAsia" w:ascii="仿宋" w:hAnsi="仿宋" w:cs="Times New Roman"/>
          <w:color w:val="000000"/>
          <w:szCs w:val="30"/>
        </w:rPr>
        <w:t>无。</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6" w:name="_Toc6269"/>
      <w:r>
        <w:rPr>
          <w:rFonts w:hint="eastAsia" w:ascii="黑体" w:hAnsi="黑体" w:eastAsia="黑体" w:cs="Times New Roman"/>
          <w:kern w:val="2"/>
          <w:sz w:val="32"/>
          <w:szCs w:val="32"/>
          <w:lang w:val="en-US" w:eastAsia="zh-CN" w:bidi="ar-SA"/>
        </w:rPr>
        <w:t>八、</w:t>
      </w:r>
      <w:r>
        <w:rPr>
          <w:rFonts w:hint="eastAsia" w:ascii="黑体" w:hAnsi="黑体" w:eastAsia="黑体"/>
        </w:rPr>
        <w:t>涉及专利的有关说明</w:t>
      </w:r>
      <w:bookmarkEnd w:id="66"/>
      <w:r>
        <w:rPr>
          <w:rFonts w:hint="eastAsia" w:ascii="黑体" w:hAnsi="黑体" w:eastAsia="黑体"/>
        </w:rPr>
        <w:t xml:space="preserve"> </w:t>
      </w:r>
    </w:p>
    <w:p>
      <w:pPr>
        <w:pStyle w:val="47"/>
        <w:rPr>
          <w:rFonts w:hint="eastAsia" w:ascii="仿宋" w:hAnsi="仿宋" w:cs="Times New Roman"/>
          <w:color w:val="000000"/>
          <w:szCs w:val="30"/>
        </w:rPr>
      </w:pPr>
      <w:r>
        <w:rPr>
          <w:rFonts w:hint="eastAsia" w:ascii="仿宋" w:hAnsi="仿宋" w:cs="Times New Roman"/>
          <w:color w:val="000000"/>
          <w:szCs w:val="30"/>
        </w:rPr>
        <w:t>无。</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7" w:name="_Toc21285"/>
      <w:r>
        <w:rPr>
          <w:rFonts w:hint="eastAsia" w:ascii="黑体" w:hAnsi="黑体" w:eastAsia="黑体" w:cs="Times New Roman"/>
          <w:kern w:val="2"/>
          <w:sz w:val="32"/>
          <w:szCs w:val="32"/>
          <w:lang w:val="en-US" w:eastAsia="zh-CN" w:bidi="ar-SA"/>
        </w:rPr>
        <w:t>九、</w:t>
      </w:r>
      <w:r>
        <w:rPr>
          <w:rFonts w:hint="eastAsia" w:ascii="黑体" w:hAnsi="黑体" w:eastAsia="黑体"/>
        </w:rPr>
        <w:t>实施标准的要求，以及组织措施、技术措施、过渡期和实施日期的建议等措施建议</w:t>
      </w:r>
      <w:bookmarkEnd w:id="67"/>
    </w:p>
    <w:p>
      <w:pPr>
        <w:pStyle w:val="47"/>
        <w:adjustRightInd w:val="0"/>
        <w:snapToGrid w:val="0"/>
        <w:rPr>
          <w:rFonts w:hint="eastAsia" w:ascii="仿宋" w:hAnsi="仿宋" w:cs="Times New Roman"/>
          <w:color w:val="000000"/>
          <w:szCs w:val="28"/>
        </w:rPr>
      </w:pPr>
      <w:r>
        <w:rPr>
          <w:rFonts w:hint="eastAsia" w:ascii="仿宋" w:hAnsi="仿宋" w:cs="Times New Roman"/>
          <w:color w:val="000000"/>
          <w:szCs w:val="28"/>
        </w:rPr>
        <w:t>该推荐性标准的颁布、贯彻实施前应及时在公众媒体、相关行业甚至对外的有关信息上公开宣传，以推动中国</w:t>
      </w:r>
      <w:r>
        <w:rPr>
          <w:rFonts w:hint="eastAsia" w:cs="Times New Roman"/>
          <w:color w:val="000000"/>
          <w:szCs w:val="28"/>
          <w:lang w:val="en-US" w:eastAsia="zh-CN"/>
        </w:rPr>
        <w:t>智能汽车基础地图</w:t>
      </w:r>
      <w:r>
        <w:rPr>
          <w:rFonts w:hint="eastAsia" w:ascii="仿宋" w:hAnsi="仿宋" w:cs="Times New Roman"/>
          <w:color w:val="000000"/>
          <w:szCs w:val="28"/>
        </w:rPr>
        <w:t>研究与生产应用</w:t>
      </w:r>
      <w:r>
        <w:rPr>
          <w:rFonts w:hint="eastAsia" w:cs="Times New Roman"/>
          <w:color w:val="000000"/>
          <w:szCs w:val="28"/>
          <w:lang w:eastAsia="zh-CN"/>
        </w:rPr>
        <w:t>，</w:t>
      </w:r>
      <w:r>
        <w:rPr>
          <w:rFonts w:hint="eastAsia" w:ascii="仿宋" w:hAnsi="仿宋" w:cs="Times New Roman"/>
          <w:color w:val="000000"/>
          <w:szCs w:val="28"/>
        </w:rPr>
        <w:t>以及车辆驾驶自动化领域的</w:t>
      </w:r>
      <w:r>
        <w:rPr>
          <w:rFonts w:hint="eastAsia" w:cs="Times New Roman"/>
          <w:color w:val="000000"/>
          <w:szCs w:val="28"/>
          <w:lang w:val="en-US" w:eastAsia="zh-CN"/>
        </w:rPr>
        <w:t>工作</w:t>
      </w:r>
      <w:r>
        <w:rPr>
          <w:rFonts w:hint="eastAsia" w:ascii="仿宋" w:hAnsi="仿宋" w:cs="Times New Roman"/>
          <w:color w:val="000000"/>
          <w:szCs w:val="28"/>
        </w:rPr>
        <w:t xml:space="preserve">进程。 </w:t>
      </w:r>
    </w:p>
    <w:p>
      <w:pPr>
        <w:pStyle w:val="48"/>
        <w:keepNext w:val="0"/>
        <w:keepLines w:val="0"/>
        <w:widowControl w:val="0"/>
        <w:numPr>
          <w:ilvl w:val="0"/>
          <w:numId w:val="0"/>
        </w:numPr>
        <w:adjustRightInd w:val="0"/>
        <w:snapToGrid w:val="0"/>
        <w:spacing w:before="120" w:after="120" w:line="360" w:lineRule="auto"/>
        <w:ind w:left="0" w:firstLineChars="0"/>
        <w:jc w:val="both"/>
        <w:rPr>
          <w:rFonts w:hint="eastAsia" w:ascii="黑体" w:hAnsi="黑体" w:eastAsia="黑体"/>
        </w:rPr>
      </w:pPr>
      <w:bookmarkStart w:id="68" w:name="_Toc20888"/>
      <w:r>
        <w:rPr>
          <w:rFonts w:hint="eastAsia" w:ascii="黑体" w:hAnsi="黑体" w:eastAsia="黑体" w:cs="Times New Roman"/>
          <w:kern w:val="2"/>
          <w:sz w:val="32"/>
          <w:szCs w:val="32"/>
          <w:lang w:val="en-US" w:eastAsia="zh-CN" w:bidi="ar-SA"/>
        </w:rPr>
        <w:t>十、</w:t>
      </w:r>
      <w:r>
        <w:rPr>
          <w:rFonts w:hint="eastAsia" w:ascii="黑体" w:hAnsi="黑体" w:eastAsia="黑体"/>
        </w:rPr>
        <w:t>其他应予说明的事项</w:t>
      </w:r>
      <w:bookmarkEnd w:id="68"/>
    </w:p>
    <w:p>
      <w:pPr>
        <w:adjustRightInd w:val="0"/>
        <w:snapToGrid w:val="0"/>
        <w:ind w:firstLine="600"/>
        <w:rPr>
          <w:rFonts w:ascii="Times New Roman" w:hAnsi="Times New Roman" w:cs="仿宋"/>
          <w:szCs w:val="30"/>
        </w:rPr>
      </w:pPr>
      <w:r>
        <w:rPr>
          <w:rFonts w:hint="eastAsia" w:ascii="Times New Roman" w:hAnsi="Times New Roman" w:cs="Times New Roman"/>
          <w:color w:val="000000"/>
          <w:szCs w:val="30"/>
        </w:rPr>
        <w:t>无。</w:t>
      </w:r>
    </w:p>
    <w:sectPr>
      <w:footerReference r:id="rId12" w:type="default"/>
      <w:pgSz w:w="11906" w:h="16838"/>
      <w:pgMar w:top="1440" w:right="1800" w:bottom="1440" w:left="1800" w:header="1077"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p>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627"/>
                            <w:docPartObj>
                              <w:docPartGallery w:val="autotext"/>
                            </w:docPartObj>
                          </w:sdtPr>
                          <w:sdtContent>
                            <w:p>
                              <w:pPr>
                                <w:pStyle w:val="10"/>
                                <w:ind w:firstLine="360"/>
                                <w:jc w:val="right"/>
                              </w:pPr>
                              <w:r>
                                <w:rPr>
                                  <w:rFonts w:ascii="仿宋" w:hAnsi="仿宋"/>
                                </w:rPr>
                                <w:fldChar w:fldCharType="begin"/>
                              </w:r>
                              <w:r>
                                <w:rPr>
                                  <w:rFonts w:ascii="仿宋" w:hAnsi="仿宋"/>
                                </w:rPr>
                                <w:instrText xml:space="preserve">PAGE   \* MERGEFORMAT</w:instrText>
                              </w:r>
                              <w:r>
                                <w:rPr>
                                  <w:rFonts w:ascii="仿宋" w:hAnsi="仿宋"/>
                                </w:rPr>
                                <w:fldChar w:fldCharType="separate"/>
                              </w:r>
                              <w:r>
                                <w:rPr>
                                  <w:rFonts w:ascii="仿宋" w:hAnsi="仿宋"/>
                                  <w:lang w:val="zh-CN"/>
                                </w:rPr>
                                <w:t>2</w:t>
                              </w:r>
                              <w:r>
                                <w:rPr>
                                  <w:rFonts w:ascii="仿宋" w:hAnsi="仿宋"/>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8627"/>
                      <w:docPartObj>
                        <w:docPartGallery w:val="autotext"/>
                      </w:docPartObj>
                    </w:sdtPr>
                    <w:sdtContent>
                      <w:p>
                        <w:pPr>
                          <w:pStyle w:val="10"/>
                          <w:ind w:firstLine="360"/>
                          <w:jc w:val="right"/>
                        </w:pPr>
                        <w:r>
                          <w:rPr>
                            <w:rFonts w:ascii="仿宋" w:hAnsi="仿宋"/>
                          </w:rPr>
                          <w:fldChar w:fldCharType="begin"/>
                        </w:r>
                        <w:r>
                          <w:rPr>
                            <w:rFonts w:ascii="仿宋" w:hAnsi="仿宋"/>
                          </w:rPr>
                          <w:instrText xml:space="preserve">PAGE   \* MERGEFORMAT</w:instrText>
                        </w:r>
                        <w:r>
                          <w:rPr>
                            <w:rFonts w:ascii="仿宋" w:hAnsi="仿宋"/>
                          </w:rPr>
                          <w:fldChar w:fldCharType="separate"/>
                        </w:r>
                        <w:r>
                          <w:rPr>
                            <w:rFonts w:ascii="仿宋" w:hAnsi="仿宋"/>
                            <w:lang w:val="zh-CN"/>
                          </w:rPr>
                          <w:t>2</w:t>
                        </w:r>
                        <w:r>
                          <w:rPr>
                            <w:rFonts w:ascii="仿宋" w:hAnsi="仿宋"/>
                          </w:rPr>
                          <w:fldChar w:fldCharType="end"/>
                        </w:r>
                      </w:p>
                    </w:sdtContent>
                  </w:sdt>
                  <w:p/>
                </w:txbxContent>
              </v:textbox>
            </v:shape>
          </w:pict>
        </mc:Fallback>
      </mc:AlternateContent>
    </w:r>
  </w:p>
  <w:p>
    <w:pPr>
      <w:pStyle w:val="1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4913"/>
                            <w:docPartObj>
                              <w:docPartGallery w:val="autotext"/>
                            </w:docPartObj>
                          </w:sdtPr>
                          <w:sdtContent>
                            <w:p>
                              <w:pPr>
                                <w:pStyle w:val="10"/>
                                <w:ind w:firstLine="360"/>
                                <w:jc w:val="right"/>
                              </w:pPr>
                              <w:r>
                                <w:rPr>
                                  <w:rFonts w:ascii="仿宋" w:hAnsi="仿宋"/>
                                  <w:sz w:val="24"/>
                                  <w:szCs w:val="24"/>
                                </w:rPr>
                                <w:fldChar w:fldCharType="begin"/>
                              </w:r>
                              <w:r>
                                <w:rPr>
                                  <w:rFonts w:ascii="仿宋" w:hAnsi="仿宋"/>
                                  <w:sz w:val="24"/>
                                  <w:szCs w:val="24"/>
                                </w:rPr>
                                <w:instrText xml:space="preserve">PAGE   \* MERGEFORMAT</w:instrText>
                              </w:r>
                              <w:r>
                                <w:rPr>
                                  <w:rFonts w:ascii="仿宋" w:hAnsi="仿宋"/>
                                  <w:sz w:val="24"/>
                                  <w:szCs w:val="24"/>
                                </w:rPr>
                                <w:fldChar w:fldCharType="separate"/>
                              </w:r>
                              <w:r>
                                <w:rPr>
                                  <w:rFonts w:ascii="仿宋" w:hAnsi="仿宋"/>
                                  <w:sz w:val="24"/>
                                  <w:szCs w:val="24"/>
                                  <w:lang w:val="zh-CN"/>
                                </w:rPr>
                                <w:t>2</w:t>
                              </w:r>
                              <w:r>
                                <w:rPr>
                                  <w:rFonts w:ascii="仿宋" w:hAnsi="仿宋"/>
                                  <w:sz w:val="24"/>
                                  <w:szCs w:val="24"/>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4913"/>
                      <w:docPartObj>
                        <w:docPartGallery w:val="autotext"/>
                      </w:docPartObj>
                    </w:sdtPr>
                    <w:sdtContent>
                      <w:p>
                        <w:pPr>
                          <w:pStyle w:val="10"/>
                          <w:ind w:firstLine="360"/>
                          <w:jc w:val="right"/>
                        </w:pPr>
                        <w:r>
                          <w:rPr>
                            <w:rFonts w:ascii="仿宋" w:hAnsi="仿宋"/>
                            <w:sz w:val="24"/>
                            <w:szCs w:val="24"/>
                          </w:rPr>
                          <w:fldChar w:fldCharType="begin"/>
                        </w:r>
                        <w:r>
                          <w:rPr>
                            <w:rFonts w:ascii="仿宋" w:hAnsi="仿宋"/>
                            <w:sz w:val="24"/>
                            <w:szCs w:val="24"/>
                          </w:rPr>
                          <w:instrText xml:space="preserve">PAGE   \* MERGEFORMAT</w:instrText>
                        </w:r>
                        <w:r>
                          <w:rPr>
                            <w:rFonts w:ascii="仿宋" w:hAnsi="仿宋"/>
                            <w:sz w:val="24"/>
                            <w:szCs w:val="24"/>
                          </w:rPr>
                          <w:fldChar w:fldCharType="separate"/>
                        </w:r>
                        <w:r>
                          <w:rPr>
                            <w:rFonts w:ascii="仿宋" w:hAnsi="仿宋"/>
                            <w:sz w:val="24"/>
                            <w:szCs w:val="24"/>
                            <w:lang w:val="zh-CN"/>
                          </w:rPr>
                          <w:t>2</w:t>
                        </w:r>
                        <w:r>
                          <w:rPr>
                            <w:rFonts w:ascii="仿宋" w:hAnsi="仿宋"/>
                            <w:sz w:val="24"/>
                            <w:szCs w:val="24"/>
                          </w:rPr>
                          <w:fldChar w:fldCharType="end"/>
                        </w:r>
                      </w:p>
                    </w:sdtContent>
                  </w:sdt>
                  <w:p/>
                </w:txbxContent>
              </v:textbox>
            </v:shape>
          </w:pict>
        </mc:Fallback>
      </mc:AlternateContent>
    </w:r>
  </w:p>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8AF9E"/>
    <w:multiLevelType w:val="multilevel"/>
    <w:tmpl w:val="8298AF9E"/>
    <w:lvl w:ilvl="0" w:tentative="0">
      <w:start w:val="1"/>
      <w:numFmt w:val="decimal"/>
      <w:suff w:val="nothing"/>
      <w:lvlText w:val="%1"/>
      <w:lvlJc w:val="left"/>
      <w:pPr>
        <w:tabs>
          <w:tab w:val="left" w:pos="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43C88DD"/>
    <w:multiLevelType w:val="multilevel"/>
    <w:tmpl w:val="943C88DD"/>
    <w:lvl w:ilvl="0" w:tentative="0">
      <w:start w:val="1"/>
      <w:numFmt w:val="decimal"/>
      <w:suff w:val="noth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0"/>
      <w:suff w:val="nothing"/>
      <w:lvlText w:val="%1.%2.%3.%4　"/>
      <w:lvlJc w:val="left"/>
      <w:pPr>
        <w:ind w:left="0" w:firstLine="0"/>
      </w:pPr>
      <w:rPr>
        <w:rFonts w:hint="eastAsia" w:ascii="黑体" w:hAnsi="Times New Roman" w:eastAsia="黑体"/>
        <w:b w:val="0"/>
        <w:i w:val="0"/>
        <w:sz w:val="21"/>
      </w:rPr>
    </w:lvl>
    <w:lvl w:ilvl="4" w:tentative="0">
      <w:start w:val="1"/>
      <w:numFmt w:val="decimal"/>
      <w:pStyle w:val="41"/>
      <w:suff w:val="nothing"/>
      <w:lvlText w:val="%1.%2.%3.%4.%5　"/>
      <w:lvlJc w:val="left"/>
      <w:pPr>
        <w:ind w:left="0" w:firstLine="0"/>
      </w:pPr>
      <w:rPr>
        <w:rFonts w:hint="eastAsia" w:ascii="黑体" w:hAnsi="Times New Roman" w:eastAsia="黑体"/>
        <w:b w:val="0"/>
        <w:i w:val="0"/>
        <w:sz w:val="21"/>
      </w:rPr>
    </w:lvl>
    <w:lvl w:ilvl="5" w:tentative="0">
      <w:start w:val="1"/>
      <w:numFmt w:val="decimal"/>
      <w:pStyle w:val="4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54A172E"/>
    <w:multiLevelType w:val="multilevel"/>
    <w:tmpl w:val="654A172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3"/>
      <w:suff w:val="nothing"/>
      <w:lvlText w:val="%1%2　"/>
      <w:lvlJc w:val="left"/>
      <w:pPr>
        <w:ind w:left="0" w:firstLine="0"/>
      </w:pPr>
      <w:rPr>
        <w:rFonts w:hint="eastAsia" w:ascii="黑体" w:eastAsia="黑体"/>
        <w:b w:val="0"/>
        <w:i w:val="0"/>
        <w:sz w:val="21"/>
      </w:rPr>
    </w:lvl>
    <w:lvl w:ilvl="2" w:tentative="0">
      <w:start w:val="1"/>
      <w:numFmt w:val="decimal"/>
      <w:pStyle w:val="5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lOTc2ZTFjODE3NzEyOGM1MjUzYjdjNDM1OWNlOWMifQ=="/>
  </w:docVars>
  <w:rsids>
    <w:rsidRoot w:val="00BD6418"/>
    <w:rsid w:val="00002673"/>
    <w:rsid w:val="0000470A"/>
    <w:rsid w:val="00006CF6"/>
    <w:rsid w:val="0001417D"/>
    <w:rsid w:val="00014ED4"/>
    <w:rsid w:val="00023DF7"/>
    <w:rsid w:val="00023FEC"/>
    <w:rsid w:val="00025299"/>
    <w:rsid w:val="0002641A"/>
    <w:rsid w:val="00030107"/>
    <w:rsid w:val="00031536"/>
    <w:rsid w:val="000323A3"/>
    <w:rsid w:val="00036383"/>
    <w:rsid w:val="00045BC2"/>
    <w:rsid w:val="000464DF"/>
    <w:rsid w:val="00047B0E"/>
    <w:rsid w:val="00054D3D"/>
    <w:rsid w:val="00055000"/>
    <w:rsid w:val="000559BA"/>
    <w:rsid w:val="00055FA6"/>
    <w:rsid w:val="000565EB"/>
    <w:rsid w:val="0007010A"/>
    <w:rsid w:val="00072140"/>
    <w:rsid w:val="00073253"/>
    <w:rsid w:val="00077C18"/>
    <w:rsid w:val="000807B3"/>
    <w:rsid w:val="00083A48"/>
    <w:rsid w:val="00085419"/>
    <w:rsid w:val="0008633E"/>
    <w:rsid w:val="000876C2"/>
    <w:rsid w:val="00090480"/>
    <w:rsid w:val="0009107D"/>
    <w:rsid w:val="00091F77"/>
    <w:rsid w:val="000A1289"/>
    <w:rsid w:val="000A194D"/>
    <w:rsid w:val="000A1A5B"/>
    <w:rsid w:val="000A2B32"/>
    <w:rsid w:val="000A506D"/>
    <w:rsid w:val="000B206C"/>
    <w:rsid w:val="000B42B7"/>
    <w:rsid w:val="000B7B8B"/>
    <w:rsid w:val="000C08D0"/>
    <w:rsid w:val="000C4836"/>
    <w:rsid w:val="000D01D9"/>
    <w:rsid w:val="000D0DE9"/>
    <w:rsid w:val="000D0F43"/>
    <w:rsid w:val="000D1F13"/>
    <w:rsid w:val="000D2964"/>
    <w:rsid w:val="000D4273"/>
    <w:rsid w:val="000D5B14"/>
    <w:rsid w:val="000D6C6D"/>
    <w:rsid w:val="000D72D7"/>
    <w:rsid w:val="000E0695"/>
    <w:rsid w:val="000E0BD1"/>
    <w:rsid w:val="000E2728"/>
    <w:rsid w:val="000E2A55"/>
    <w:rsid w:val="000E2E09"/>
    <w:rsid w:val="000F0FB7"/>
    <w:rsid w:val="000F39B6"/>
    <w:rsid w:val="000F3E3B"/>
    <w:rsid w:val="001022E1"/>
    <w:rsid w:val="0010282A"/>
    <w:rsid w:val="0011685F"/>
    <w:rsid w:val="00117F63"/>
    <w:rsid w:val="00120CE9"/>
    <w:rsid w:val="00123E52"/>
    <w:rsid w:val="0012661F"/>
    <w:rsid w:val="00126677"/>
    <w:rsid w:val="00127A59"/>
    <w:rsid w:val="0013108E"/>
    <w:rsid w:val="00134FDA"/>
    <w:rsid w:val="00135091"/>
    <w:rsid w:val="00136251"/>
    <w:rsid w:val="00140106"/>
    <w:rsid w:val="001404DB"/>
    <w:rsid w:val="001405AC"/>
    <w:rsid w:val="0014097D"/>
    <w:rsid w:val="00144535"/>
    <w:rsid w:val="00145EEF"/>
    <w:rsid w:val="00146400"/>
    <w:rsid w:val="00147C9D"/>
    <w:rsid w:val="00151681"/>
    <w:rsid w:val="0015333D"/>
    <w:rsid w:val="00155EDD"/>
    <w:rsid w:val="001612AC"/>
    <w:rsid w:val="0016170D"/>
    <w:rsid w:val="001669FA"/>
    <w:rsid w:val="00167367"/>
    <w:rsid w:val="00172592"/>
    <w:rsid w:val="001729AF"/>
    <w:rsid w:val="00172B99"/>
    <w:rsid w:val="00173944"/>
    <w:rsid w:val="001742AE"/>
    <w:rsid w:val="00175C61"/>
    <w:rsid w:val="00177F32"/>
    <w:rsid w:val="001800B3"/>
    <w:rsid w:val="001823C3"/>
    <w:rsid w:val="001908BA"/>
    <w:rsid w:val="00196FF7"/>
    <w:rsid w:val="001A1223"/>
    <w:rsid w:val="001A659A"/>
    <w:rsid w:val="001B309C"/>
    <w:rsid w:val="001B3DF9"/>
    <w:rsid w:val="001B5310"/>
    <w:rsid w:val="001C2168"/>
    <w:rsid w:val="001C32B6"/>
    <w:rsid w:val="001C47FC"/>
    <w:rsid w:val="001D1955"/>
    <w:rsid w:val="001D1F23"/>
    <w:rsid w:val="001D6C59"/>
    <w:rsid w:val="001E0635"/>
    <w:rsid w:val="001E18EF"/>
    <w:rsid w:val="001E1EE3"/>
    <w:rsid w:val="001F36DE"/>
    <w:rsid w:val="001F5B1C"/>
    <w:rsid w:val="001F5D6C"/>
    <w:rsid w:val="00200939"/>
    <w:rsid w:val="00203AAC"/>
    <w:rsid w:val="00205FBE"/>
    <w:rsid w:val="0021022E"/>
    <w:rsid w:val="00211F99"/>
    <w:rsid w:val="002128F3"/>
    <w:rsid w:val="00212965"/>
    <w:rsid w:val="002147D3"/>
    <w:rsid w:val="002154DE"/>
    <w:rsid w:val="00216818"/>
    <w:rsid w:val="00224A04"/>
    <w:rsid w:val="00224EB6"/>
    <w:rsid w:val="00226475"/>
    <w:rsid w:val="002355AF"/>
    <w:rsid w:val="002465EB"/>
    <w:rsid w:val="00254A18"/>
    <w:rsid w:val="002664F1"/>
    <w:rsid w:val="00275884"/>
    <w:rsid w:val="00281BBC"/>
    <w:rsid w:val="00282D2A"/>
    <w:rsid w:val="002865EE"/>
    <w:rsid w:val="0028709A"/>
    <w:rsid w:val="00291237"/>
    <w:rsid w:val="00291FE0"/>
    <w:rsid w:val="0029414A"/>
    <w:rsid w:val="00294FA9"/>
    <w:rsid w:val="00295055"/>
    <w:rsid w:val="00297D5C"/>
    <w:rsid w:val="002A4009"/>
    <w:rsid w:val="002A4C55"/>
    <w:rsid w:val="002A4CB7"/>
    <w:rsid w:val="002B4697"/>
    <w:rsid w:val="002B5E9F"/>
    <w:rsid w:val="002C14DD"/>
    <w:rsid w:val="002D3A29"/>
    <w:rsid w:val="002D3E32"/>
    <w:rsid w:val="002D420C"/>
    <w:rsid w:val="002D484F"/>
    <w:rsid w:val="002D736F"/>
    <w:rsid w:val="002E01F4"/>
    <w:rsid w:val="002E199C"/>
    <w:rsid w:val="002E321C"/>
    <w:rsid w:val="002E603B"/>
    <w:rsid w:val="002F0F63"/>
    <w:rsid w:val="002F42B6"/>
    <w:rsid w:val="002F4BD6"/>
    <w:rsid w:val="002F4DC9"/>
    <w:rsid w:val="002F51A0"/>
    <w:rsid w:val="002F795A"/>
    <w:rsid w:val="002F7DFE"/>
    <w:rsid w:val="00302961"/>
    <w:rsid w:val="00304D6D"/>
    <w:rsid w:val="00305B2F"/>
    <w:rsid w:val="00305E74"/>
    <w:rsid w:val="0030787E"/>
    <w:rsid w:val="00310032"/>
    <w:rsid w:val="003100E8"/>
    <w:rsid w:val="003105B6"/>
    <w:rsid w:val="003138D0"/>
    <w:rsid w:val="00313D45"/>
    <w:rsid w:val="0031495F"/>
    <w:rsid w:val="00326A84"/>
    <w:rsid w:val="0032764A"/>
    <w:rsid w:val="00331135"/>
    <w:rsid w:val="00334534"/>
    <w:rsid w:val="003348FA"/>
    <w:rsid w:val="00340666"/>
    <w:rsid w:val="00342BFD"/>
    <w:rsid w:val="003456DD"/>
    <w:rsid w:val="00351DC0"/>
    <w:rsid w:val="003554E6"/>
    <w:rsid w:val="00357594"/>
    <w:rsid w:val="00361923"/>
    <w:rsid w:val="00366687"/>
    <w:rsid w:val="003706FB"/>
    <w:rsid w:val="00371BAB"/>
    <w:rsid w:val="00371DCC"/>
    <w:rsid w:val="00375CF4"/>
    <w:rsid w:val="003765BF"/>
    <w:rsid w:val="003815D2"/>
    <w:rsid w:val="00381B66"/>
    <w:rsid w:val="00394367"/>
    <w:rsid w:val="003A04F6"/>
    <w:rsid w:val="003A1742"/>
    <w:rsid w:val="003A2883"/>
    <w:rsid w:val="003A620E"/>
    <w:rsid w:val="003A6B3E"/>
    <w:rsid w:val="003B24F0"/>
    <w:rsid w:val="003B54B2"/>
    <w:rsid w:val="003B59D9"/>
    <w:rsid w:val="003B6502"/>
    <w:rsid w:val="003B66A9"/>
    <w:rsid w:val="003B7704"/>
    <w:rsid w:val="003B7BDF"/>
    <w:rsid w:val="003C0170"/>
    <w:rsid w:val="003C0D97"/>
    <w:rsid w:val="003C125A"/>
    <w:rsid w:val="003C44FD"/>
    <w:rsid w:val="003C563D"/>
    <w:rsid w:val="003D2EF4"/>
    <w:rsid w:val="003D5394"/>
    <w:rsid w:val="003D7280"/>
    <w:rsid w:val="003E0852"/>
    <w:rsid w:val="003E0B6F"/>
    <w:rsid w:val="003E1725"/>
    <w:rsid w:val="003E260C"/>
    <w:rsid w:val="003E6927"/>
    <w:rsid w:val="003E6BC9"/>
    <w:rsid w:val="003F0491"/>
    <w:rsid w:val="003F0FAF"/>
    <w:rsid w:val="003F389B"/>
    <w:rsid w:val="003F68A1"/>
    <w:rsid w:val="003F6B63"/>
    <w:rsid w:val="003F6D5D"/>
    <w:rsid w:val="003F7917"/>
    <w:rsid w:val="00404451"/>
    <w:rsid w:val="004049A1"/>
    <w:rsid w:val="004057E1"/>
    <w:rsid w:val="00406724"/>
    <w:rsid w:val="00407106"/>
    <w:rsid w:val="0040768B"/>
    <w:rsid w:val="004122DE"/>
    <w:rsid w:val="0041260D"/>
    <w:rsid w:val="004155CC"/>
    <w:rsid w:val="004165FA"/>
    <w:rsid w:val="00423EF5"/>
    <w:rsid w:val="00430638"/>
    <w:rsid w:val="00432058"/>
    <w:rsid w:val="004322D1"/>
    <w:rsid w:val="004336DE"/>
    <w:rsid w:val="00436098"/>
    <w:rsid w:val="00443DCE"/>
    <w:rsid w:val="00444AB0"/>
    <w:rsid w:val="00444C30"/>
    <w:rsid w:val="0045089A"/>
    <w:rsid w:val="00450D65"/>
    <w:rsid w:val="00453EF6"/>
    <w:rsid w:val="00457C9C"/>
    <w:rsid w:val="00460944"/>
    <w:rsid w:val="004626D9"/>
    <w:rsid w:val="00462768"/>
    <w:rsid w:val="00480CB0"/>
    <w:rsid w:val="00481943"/>
    <w:rsid w:val="00483F45"/>
    <w:rsid w:val="004855CE"/>
    <w:rsid w:val="00485FA0"/>
    <w:rsid w:val="004910F1"/>
    <w:rsid w:val="004926FB"/>
    <w:rsid w:val="004927D5"/>
    <w:rsid w:val="00496421"/>
    <w:rsid w:val="00497ED8"/>
    <w:rsid w:val="004A0923"/>
    <w:rsid w:val="004A160E"/>
    <w:rsid w:val="004A5FC4"/>
    <w:rsid w:val="004A6BD3"/>
    <w:rsid w:val="004A7632"/>
    <w:rsid w:val="004A76C7"/>
    <w:rsid w:val="004A787C"/>
    <w:rsid w:val="004B1C80"/>
    <w:rsid w:val="004B41E2"/>
    <w:rsid w:val="004B5929"/>
    <w:rsid w:val="004B78BE"/>
    <w:rsid w:val="004C4CB5"/>
    <w:rsid w:val="004D50A3"/>
    <w:rsid w:val="004D67B6"/>
    <w:rsid w:val="004D772C"/>
    <w:rsid w:val="004E6C9D"/>
    <w:rsid w:val="004E72F9"/>
    <w:rsid w:val="004F05CB"/>
    <w:rsid w:val="004F0DBD"/>
    <w:rsid w:val="004F169F"/>
    <w:rsid w:val="004F1D48"/>
    <w:rsid w:val="004F48B8"/>
    <w:rsid w:val="0050782C"/>
    <w:rsid w:val="00507D2B"/>
    <w:rsid w:val="00514C5D"/>
    <w:rsid w:val="00520217"/>
    <w:rsid w:val="005220E2"/>
    <w:rsid w:val="00522AC4"/>
    <w:rsid w:val="0052377D"/>
    <w:rsid w:val="00525E3E"/>
    <w:rsid w:val="005344C1"/>
    <w:rsid w:val="005358CE"/>
    <w:rsid w:val="00540733"/>
    <w:rsid w:val="005471F5"/>
    <w:rsid w:val="00547B34"/>
    <w:rsid w:val="00550756"/>
    <w:rsid w:val="00555B7A"/>
    <w:rsid w:val="00555E26"/>
    <w:rsid w:val="0055657D"/>
    <w:rsid w:val="00557825"/>
    <w:rsid w:val="00557FCF"/>
    <w:rsid w:val="005605F9"/>
    <w:rsid w:val="00560894"/>
    <w:rsid w:val="00562346"/>
    <w:rsid w:val="0056270B"/>
    <w:rsid w:val="00563281"/>
    <w:rsid w:val="00563CFB"/>
    <w:rsid w:val="005650BF"/>
    <w:rsid w:val="005655B6"/>
    <w:rsid w:val="0056612A"/>
    <w:rsid w:val="00571997"/>
    <w:rsid w:val="0057267B"/>
    <w:rsid w:val="00573ECB"/>
    <w:rsid w:val="005743DA"/>
    <w:rsid w:val="00575E02"/>
    <w:rsid w:val="005821A6"/>
    <w:rsid w:val="00582A7C"/>
    <w:rsid w:val="00582D02"/>
    <w:rsid w:val="0058538A"/>
    <w:rsid w:val="00585D08"/>
    <w:rsid w:val="00586330"/>
    <w:rsid w:val="0058779E"/>
    <w:rsid w:val="0059098B"/>
    <w:rsid w:val="00591402"/>
    <w:rsid w:val="0059242F"/>
    <w:rsid w:val="00593339"/>
    <w:rsid w:val="0059646C"/>
    <w:rsid w:val="00596D63"/>
    <w:rsid w:val="005970FA"/>
    <w:rsid w:val="00597ABB"/>
    <w:rsid w:val="005A01B3"/>
    <w:rsid w:val="005A173F"/>
    <w:rsid w:val="005A19DD"/>
    <w:rsid w:val="005A47F5"/>
    <w:rsid w:val="005A53CD"/>
    <w:rsid w:val="005B5A8D"/>
    <w:rsid w:val="005B697E"/>
    <w:rsid w:val="005C30AA"/>
    <w:rsid w:val="005C3305"/>
    <w:rsid w:val="005C4645"/>
    <w:rsid w:val="005D6231"/>
    <w:rsid w:val="005D67DD"/>
    <w:rsid w:val="005D7496"/>
    <w:rsid w:val="005E1FB5"/>
    <w:rsid w:val="005E255A"/>
    <w:rsid w:val="005E6F51"/>
    <w:rsid w:val="005F0071"/>
    <w:rsid w:val="005F30D6"/>
    <w:rsid w:val="005F4EC9"/>
    <w:rsid w:val="005F5BEC"/>
    <w:rsid w:val="005F62DD"/>
    <w:rsid w:val="005F6650"/>
    <w:rsid w:val="005F7007"/>
    <w:rsid w:val="00600D51"/>
    <w:rsid w:val="00601EEB"/>
    <w:rsid w:val="0060384A"/>
    <w:rsid w:val="00604614"/>
    <w:rsid w:val="00606945"/>
    <w:rsid w:val="0060694B"/>
    <w:rsid w:val="00606F1F"/>
    <w:rsid w:val="00607F70"/>
    <w:rsid w:val="00610D60"/>
    <w:rsid w:val="0061419E"/>
    <w:rsid w:val="00615246"/>
    <w:rsid w:val="006176D9"/>
    <w:rsid w:val="006221A2"/>
    <w:rsid w:val="0063095D"/>
    <w:rsid w:val="00632C86"/>
    <w:rsid w:val="00641371"/>
    <w:rsid w:val="006433A1"/>
    <w:rsid w:val="006448F8"/>
    <w:rsid w:val="00655919"/>
    <w:rsid w:val="00657ECE"/>
    <w:rsid w:val="00660907"/>
    <w:rsid w:val="00661A90"/>
    <w:rsid w:val="00661ABA"/>
    <w:rsid w:val="00667C59"/>
    <w:rsid w:val="00671A67"/>
    <w:rsid w:val="00680A65"/>
    <w:rsid w:val="006817C8"/>
    <w:rsid w:val="00685189"/>
    <w:rsid w:val="006904A2"/>
    <w:rsid w:val="006908E5"/>
    <w:rsid w:val="00692604"/>
    <w:rsid w:val="00692875"/>
    <w:rsid w:val="0069304B"/>
    <w:rsid w:val="00695462"/>
    <w:rsid w:val="006A0555"/>
    <w:rsid w:val="006A0581"/>
    <w:rsid w:val="006A0E94"/>
    <w:rsid w:val="006A1794"/>
    <w:rsid w:val="006A3023"/>
    <w:rsid w:val="006A7B5D"/>
    <w:rsid w:val="006B0F5A"/>
    <w:rsid w:val="006B11F2"/>
    <w:rsid w:val="006B4563"/>
    <w:rsid w:val="006B4A2B"/>
    <w:rsid w:val="006C1105"/>
    <w:rsid w:val="006C3AA8"/>
    <w:rsid w:val="006C6127"/>
    <w:rsid w:val="006C6F3C"/>
    <w:rsid w:val="006D0279"/>
    <w:rsid w:val="006D1A41"/>
    <w:rsid w:val="006D1E0C"/>
    <w:rsid w:val="006D37EC"/>
    <w:rsid w:val="006D42C0"/>
    <w:rsid w:val="006D445B"/>
    <w:rsid w:val="006D64CA"/>
    <w:rsid w:val="006E147F"/>
    <w:rsid w:val="006E2938"/>
    <w:rsid w:val="006E3500"/>
    <w:rsid w:val="006E4680"/>
    <w:rsid w:val="006E4793"/>
    <w:rsid w:val="006F01A3"/>
    <w:rsid w:val="006F151C"/>
    <w:rsid w:val="006F1807"/>
    <w:rsid w:val="006F46B1"/>
    <w:rsid w:val="007029A8"/>
    <w:rsid w:val="00702D29"/>
    <w:rsid w:val="007047BD"/>
    <w:rsid w:val="00705FC3"/>
    <w:rsid w:val="00706249"/>
    <w:rsid w:val="00706BAB"/>
    <w:rsid w:val="00707BD5"/>
    <w:rsid w:val="00711AC4"/>
    <w:rsid w:val="007130C3"/>
    <w:rsid w:val="007137E7"/>
    <w:rsid w:val="00713867"/>
    <w:rsid w:val="00713DA4"/>
    <w:rsid w:val="00716762"/>
    <w:rsid w:val="007207E8"/>
    <w:rsid w:val="00721C63"/>
    <w:rsid w:val="007234BF"/>
    <w:rsid w:val="00725C60"/>
    <w:rsid w:val="00727843"/>
    <w:rsid w:val="007331A2"/>
    <w:rsid w:val="007354D1"/>
    <w:rsid w:val="007364E4"/>
    <w:rsid w:val="007408B7"/>
    <w:rsid w:val="00743069"/>
    <w:rsid w:val="00744197"/>
    <w:rsid w:val="007456F8"/>
    <w:rsid w:val="007458B5"/>
    <w:rsid w:val="00745F2B"/>
    <w:rsid w:val="00747443"/>
    <w:rsid w:val="00750C5D"/>
    <w:rsid w:val="00752474"/>
    <w:rsid w:val="0075358E"/>
    <w:rsid w:val="0075364D"/>
    <w:rsid w:val="007537EC"/>
    <w:rsid w:val="007561B5"/>
    <w:rsid w:val="0076523C"/>
    <w:rsid w:val="00771DF5"/>
    <w:rsid w:val="00780541"/>
    <w:rsid w:val="00782A2F"/>
    <w:rsid w:val="00782FC9"/>
    <w:rsid w:val="00786BFC"/>
    <w:rsid w:val="00790A75"/>
    <w:rsid w:val="007945D3"/>
    <w:rsid w:val="00794986"/>
    <w:rsid w:val="007951E7"/>
    <w:rsid w:val="007A2306"/>
    <w:rsid w:val="007A3031"/>
    <w:rsid w:val="007A3848"/>
    <w:rsid w:val="007A4CA4"/>
    <w:rsid w:val="007A7C23"/>
    <w:rsid w:val="007B0161"/>
    <w:rsid w:val="007B064D"/>
    <w:rsid w:val="007B151E"/>
    <w:rsid w:val="007B292C"/>
    <w:rsid w:val="007B2EE2"/>
    <w:rsid w:val="007B620D"/>
    <w:rsid w:val="007B7CE7"/>
    <w:rsid w:val="007C328D"/>
    <w:rsid w:val="007C3AB4"/>
    <w:rsid w:val="007C7169"/>
    <w:rsid w:val="007C718F"/>
    <w:rsid w:val="007D33EC"/>
    <w:rsid w:val="007D5479"/>
    <w:rsid w:val="007D5F49"/>
    <w:rsid w:val="007D7F3E"/>
    <w:rsid w:val="007E1AD0"/>
    <w:rsid w:val="007E772C"/>
    <w:rsid w:val="007E79E5"/>
    <w:rsid w:val="007F11B3"/>
    <w:rsid w:val="007F3FB7"/>
    <w:rsid w:val="007F43AE"/>
    <w:rsid w:val="007F5244"/>
    <w:rsid w:val="007F5DAD"/>
    <w:rsid w:val="008009D5"/>
    <w:rsid w:val="00802B71"/>
    <w:rsid w:val="00802F52"/>
    <w:rsid w:val="00804CF1"/>
    <w:rsid w:val="0081583D"/>
    <w:rsid w:val="00817CCE"/>
    <w:rsid w:val="008237AD"/>
    <w:rsid w:val="00826CBF"/>
    <w:rsid w:val="0082761E"/>
    <w:rsid w:val="00831258"/>
    <w:rsid w:val="008334F9"/>
    <w:rsid w:val="00840819"/>
    <w:rsid w:val="008422C1"/>
    <w:rsid w:val="00845A55"/>
    <w:rsid w:val="008523CD"/>
    <w:rsid w:val="00857A78"/>
    <w:rsid w:val="00860913"/>
    <w:rsid w:val="00863382"/>
    <w:rsid w:val="00870017"/>
    <w:rsid w:val="0087435D"/>
    <w:rsid w:val="00881005"/>
    <w:rsid w:val="00882EC3"/>
    <w:rsid w:val="00883B01"/>
    <w:rsid w:val="00884B5D"/>
    <w:rsid w:val="00884C11"/>
    <w:rsid w:val="008856EF"/>
    <w:rsid w:val="00893C32"/>
    <w:rsid w:val="00895122"/>
    <w:rsid w:val="008958DB"/>
    <w:rsid w:val="008A24DB"/>
    <w:rsid w:val="008A3BED"/>
    <w:rsid w:val="008A74E9"/>
    <w:rsid w:val="008B0DF0"/>
    <w:rsid w:val="008B1B44"/>
    <w:rsid w:val="008B236B"/>
    <w:rsid w:val="008B48E5"/>
    <w:rsid w:val="008B7D3E"/>
    <w:rsid w:val="008C0812"/>
    <w:rsid w:val="008C3C43"/>
    <w:rsid w:val="008C733F"/>
    <w:rsid w:val="008C7C9C"/>
    <w:rsid w:val="008D0795"/>
    <w:rsid w:val="008D1890"/>
    <w:rsid w:val="008D1E9C"/>
    <w:rsid w:val="008D301E"/>
    <w:rsid w:val="008D435D"/>
    <w:rsid w:val="008D690D"/>
    <w:rsid w:val="008D6BC8"/>
    <w:rsid w:val="008E0675"/>
    <w:rsid w:val="008E0B57"/>
    <w:rsid w:val="008E4F92"/>
    <w:rsid w:val="008F27D7"/>
    <w:rsid w:val="008F500C"/>
    <w:rsid w:val="008F50F4"/>
    <w:rsid w:val="008F5245"/>
    <w:rsid w:val="008F7F55"/>
    <w:rsid w:val="0090058A"/>
    <w:rsid w:val="00900AFB"/>
    <w:rsid w:val="00900C26"/>
    <w:rsid w:val="00904B84"/>
    <w:rsid w:val="00910FD9"/>
    <w:rsid w:val="0091161F"/>
    <w:rsid w:val="009123FD"/>
    <w:rsid w:val="009269A2"/>
    <w:rsid w:val="00926AFD"/>
    <w:rsid w:val="0092708E"/>
    <w:rsid w:val="00932039"/>
    <w:rsid w:val="00932115"/>
    <w:rsid w:val="0093727E"/>
    <w:rsid w:val="009401BF"/>
    <w:rsid w:val="00943585"/>
    <w:rsid w:val="009525F9"/>
    <w:rsid w:val="009541BA"/>
    <w:rsid w:val="009546DD"/>
    <w:rsid w:val="009621E9"/>
    <w:rsid w:val="00962658"/>
    <w:rsid w:val="00963653"/>
    <w:rsid w:val="009660CD"/>
    <w:rsid w:val="00966CE8"/>
    <w:rsid w:val="00967CC1"/>
    <w:rsid w:val="00971547"/>
    <w:rsid w:val="00971E3A"/>
    <w:rsid w:val="009725E0"/>
    <w:rsid w:val="009748FF"/>
    <w:rsid w:val="00974BB9"/>
    <w:rsid w:val="00976006"/>
    <w:rsid w:val="00984ED7"/>
    <w:rsid w:val="0098658B"/>
    <w:rsid w:val="00990135"/>
    <w:rsid w:val="00991F7E"/>
    <w:rsid w:val="00993A5B"/>
    <w:rsid w:val="00994A97"/>
    <w:rsid w:val="0099599A"/>
    <w:rsid w:val="00996EB8"/>
    <w:rsid w:val="009A0068"/>
    <w:rsid w:val="009A0E45"/>
    <w:rsid w:val="009A2BD5"/>
    <w:rsid w:val="009B22FA"/>
    <w:rsid w:val="009B5510"/>
    <w:rsid w:val="009B57AA"/>
    <w:rsid w:val="009B737F"/>
    <w:rsid w:val="009C466D"/>
    <w:rsid w:val="009C58D5"/>
    <w:rsid w:val="009C7565"/>
    <w:rsid w:val="009D0F70"/>
    <w:rsid w:val="009D1EBB"/>
    <w:rsid w:val="009D5DC8"/>
    <w:rsid w:val="009D6959"/>
    <w:rsid w:val="009D7485"/>
    <w:rsid w:val="009F6558"/>
    <w:rsid w:val="009F7438"/>
    <w:rsid w:val="009F7678"/>
    <w:rsid w:val="00A012B8"/>
    <w:rsid w:val="00A060E8"/>
    <w:rsid w:val="00A065B2"/>
    <w:rsid w:val="00A10989"/>
    <w:rsid w:val="00A114C9"/>
    <w:rsid w:val="00A13002"/>
    <w:rsid w:val="00A14294"/>
    <w:rsid w:val="00A16939"/>
    <w:rsid w:val="00A27A64"/>
    <w:rsid w:val="00A31430"/>
    <w:rsid w:val="00A33BCC"/>
    <w:rsid w:val="00A34BDC"/>
    <w:rsid w:val="00A352DA"/>
    <w:rsid w:val="00A35AB7"/>
    <w:rsid w:val="00A42910"/>
    <w:rsid w:val="00A43D3E"/>
    <w:rsid w:val="00A440D0"/>
    <w:rsid w:val="00A468A9"/>
    <w:rsid w:val="00A52EFC"/>
    <w:rsid w:val="00A55790"/>
    <w:rsid w:val="00A576E5"/>
    <w:rsid w:val="00A64510"/>
    <w:rsid w:val="00A652E1"/>
    <w:rsid w:val="00A65A46"/>
    <w:rsid w:val="00A7367E"/>
    <w:rsid w:val="00A7515C"/>
    <w:rsid w:val="00A7768B"/>
    <w:rsid w:val="00A823D0"/>
    <w:rsid w:val="00A83867"/>
    <w:rsid w:val="00A8426F"/>
    <w:rsid w:val="00A851ED"/>
    <w:rsid w:val="00A853C8"/>
    <w:rsid w:val="00A90B02"/>
    <w:rsid w:val="00A9148D"/>
    <w:rsid w:val="00A93BE2"/>
    <w:rsid w:val="00A9427A"/>
    <w:rsid w:val="00AA0B0E"/>
    <w:rsid w:val="00AA136D"/>
    <w:rsid w:val="00AA503A"/>
    <w:rsid w:val="00AB06B6"/>
    <w:rsid w:val="00AB524B"/>
    <w:rsid w:val="00AB633C"/>
    <w:rsid w:val="00AC0B2F"/>
    <w:rsid w:val="00AC14CF"/>
    <w:rsid w:val="00AC34C7"/>
    <w:rsid w:val="00AC45AC"/>
    <w:rsid w:val="00AC64FC"/>
    <w:rsid w:val="00AC7ED9"/>
    <w:rsid w:val="00AD0302"/>
    <w:rsid w:val="00AD19D1"/>
    <w:rsid w:val="00AD39D5"/>
    <w:rsid w:val="00AD491A"/>
    <w:rsid w:val="00AE1768"/>
    <w:rsid w:val="00AE30D7"/>
    <w:rsid w:val="00AE490F"/>
    <w:rsid w:val="00AE77C4"/>
    <w:rsid w:val="00AE785A"/>
    <w:rsid w:val="00AF102F"/>
    <w:rsid w:val="00AF19C4"/>
    <w:rsid w:val="00AF1F90"/>
    <w:rsid w:val="00AF39C2"/>
    <w:rsid w:val="00AF6EC4"/>
    <w:rsid w:val="00AF6FFB"/>
    <w:rsid w:val="00B00574"/>
    <w:rsid w:val="00B0070B"/>
    <w:rsid w:val="00B028EA"/>
    <w:rsid w:val="00B05631"/>
    <w:rsid w:val="00B05B26"/>
    <w:rsid w:val="00B05CF6"/>
    <w:rsid w:val="00B0664C"/>
    <w:rsid w:val="00B07E49"/>
    <w:rsid w:val="00B1271C"/>
    <w:rsid w:val="00B12FFC"/>
    <w:rsid w:val="00B1502F"/>
    <w:rsid w:val="00B150F9"/>
    <w:rsid w:val="00B15489"/>
    <w:rsid w:val="00B1553A"/>
    <w:rsid w:val="00B166E6"/>
    <w:rsid w:val="00B17700"/>
    <w:rsid w:val="00B21D81"/>
    <w:rsid w:val="00B25549"/>
    <w:rsid w:val="00B262CA"/>
    <w:rsid w:val="00B26C82"/>
    <w:rsid w:val="00B30D0D"/>
    <w:rsid w:val="00B30D40"/>
    <w:rsid w:val="00B324BD"/>
    <w:rsid w:val="00B34106"/>
    <w:rsid w:val="00B35733"/>
    <w:rsid w:val="00B36C23"/>
    <w:rsid w:val="00B37163"/>
    <w:rsid w:val="00B37FC0"/>
    <w:rsid w:val="00B44839"/>
    <w:rsid w:val="00B44F07"/>
    <w:rsid w:val="00B474CA"/>
    <w:rsid w:val="00B47617"/>
    <w:rsid w:val="00B50C22"/>
    <w:rsid w:val="00B52AB4"/>
    <w:rsid w:val="00B52E69"/>
    <w:rsid w:val="00B53DBB"/>
    <w:rsid w:val="00B543F6"/>
    <w:rsid w:val="00B57B24"/>
    <w:rsid w:val="00B60091"/>
    <w:rsid w:val="00B6468C"/>
    <w:rsid w:val="00B66771"/>
    <w:rsid w:val="00B67156"/>
    <w:rsid w:val="00B73B45"/>
    <w:rsid w:val="00B848C3"/>
    <w:rsid w:val="00B871C3"/>
    <w:rsid w:val="00B912EB"/>
    <w:rsid w:val="00B9138D"/>
    <w:rsid w:val="00B93755"/>
    <w:rsid w:val="00B94B1D"/>
    <w:rsid w:val="00B95A56"/>
    <w:rsid w:val="00B9708D"/>
    <w:rsid w:val="00BA2B32"/>
    <w:rsid w:val="00BA30E7"/>
    <w:rsid w:val="00BA4246"/>
    <w:rsid w:val="00BA4FD1"/>
    <w:rsid w:val="00BA6A23"/>
    <w:rsid w:val="00BB35E6"/>
    <w:rsid w:val="00BB4FBD"/>
    <w:rsid w:val="00BB55A9"/>
    <w:rsid w:val="00BC203D"/>
    <w:rsid w:val="00BC3F8B"/>
    <w:rsid w:val="00BC4031"/>
    <w:rsid w:val="00BC571F"/>
    <w:rsid w:val="00BC5793"/>
    <w:rsid w:val="00BC795C"/>
    <w:rsid w:val="00BD2953"/>
    <w:rsid w:val="00BD2A64"/>
    <w:rsid w:val="00BD4318"/>
    <w:rsid w:val="00BD6418"/>
    <w:rsid w:val="00BD666B"/>
    <w:rsid w:val="00BF1A55"/>
    <w:rsid w:val="00BF4248"/>
    <w:rsid w:val="00BF551C"/>
    <w:rsid w:val="00C05A67"/>
    <w:rsid w:val="00C0757E"/>
    <w:rsid w:val="00C07A1B"/>
    <w:rsid w:val="00C1089E"/>
    <w:rsid w:val="00C11611"/>
    <w:rsid w:val="00C127F4"/>
    <w:rsid w:val="00C146BC"/>
    <w:rsid w:val="00C15E65"/>
    <w:rsid w:val="00C2394C"/>
    <w:rsid w:val="00C23DC4"/>
    <w:rsid w:val="00C24E84"/>
    <w:rsid w:val="00C25562"/>
    <w:rsid w:val="00C2674C"/>
    <w:rsid w:val="00C27130"/>
    <w:rsid w:val="00C300B8"/>
    <w:rsid w:val="00C31B41"/>
    <w:rsid w:val="00C32092"/>
    <w:rsid w:val="00C32F14"/>
    <w:rsid w:val="00C36C11"/>
    <w:rsid w:val="00C37E80"/>
    <w:rsid w:val="00C402AF"/>
    <w:rsid w:val="00C424F7"/>
    <w:rsid w:val="00C43429"/>
    <w:rsid w:val="00C4421F"/>
    <w:rsid w:val="00C47755"/>
    <w:rsid w:val="00C544EB"/>
    <w:rsid w:val="00C54E34"/>
    <w:rsid w:val="00C56928"/>
    <w:rsid w:val="00C60BD8"/>
    <w:rsid w:val="00C61E90"/>
    <w:rsid w:val="00C704AC"/>
    <w:rsid w:val="00C712A5"/>
    <w:rsid w:val="00C719E9"/>
    <w:rsid w:val="00C72761"/>
    <w:rsid w:val="00C74F6D"/>
    <w:rsid w:val="00C765D7"/>
    <w:rsid w:val="00C83079"/>
    <w:rsid w:val="00C84FBD"/>
    <w:rsid w:val="00C85412"/>
    <w:rsid w:val="00C862DD"/>
    <w:rsid w:val="00C90A97"/>
    <w:rsid w:val="00C93299"/>
    <w:rsid w:val="00C93B68"/>
    <w:rsid w:val="00C96474"/>
    <w:rsid w:val="00C975B1"/>
    <w:rsid w:val="00C97E1B"/>
    <w:rsid w:val="00CA144E"/>
    <w:rsid w:val="00CA2471"/>
    <w:rsid w:val="00CA2B2D"/>
    <w:rsid w:val="00CB07C6"/>
    <w:rsid w:val="00CB3E84"/>
    <w:rsid w:val="00CB4385"/>
    <w:rsid w:val="00CB55F2"/>
    <w:rsid w:val="00CB7F27"/>
    <w:rsid w:val="00CC1522"/>
    <w:rsid w:val="00CC1A32"/>
    <w:rsid w:val="00CC1AFC"/>
    <w:rsid w:val="00CC3270"/>
    <w:rsid w:val="00CC6E16"/>
    <w:rsid w:val="00CC7506"/>
    <w:rsid w:val="00CD01ED"/>
    <w:rsid w:val="00CD030A"/>
    <w:rsid w:val="00CD2511"/>
    <w:rsid w:val="00CD265E"/>
    <w:rsid w:val="00CD3E31"/>
    <w:rsid w:val="00CE1469"/>
    <w:rsid w:val="00CE37F6"/>
    <w:rsid w:val="00CE3CD7"/>
    <w:rsid w:val="00CE7FDB"/>
    <w:rsid w:val="00CF0226"/>
    <w:rsid w:val="00CF1046"/>
    <w:rsid w:val="00CF3D8E"/>
    <w:rsid w:val="00CF581C"/>
    <w:rsid w:val="00CF5DE9"/>
    <w:rsid w:val="00CF60C8"/>
    <w:rsid w:val="00CF67C5"/>
    <w:rsid w:val="00D00C25"/>
    <w:rsid w:val="00D04081"/>
    <w:rsid w:val="00D10C9E"/>
    <w:rsid w:val="00D119AF"/>
    <w:rsid w:val="00D11AB3"/>
    <w:rsid w:val="00D21B1C"/>
    <w:rsid w:val="00D23392"/>
    <w:rsid w:val="00D278AD"/>
    <w:rsid w:val="00D3110F"/>
    <w:rsid w:val="00D33336"/>
    <w:rsid w:val="00D3651B"/>
    <w:rsid w:val="00D37F9A"/>
    <w:rsid w:val="00D403C7"/>
    <w:rsid w:val="00D41919"/>
    <w:rsid w:val="00D429A3"/>
    <w:rsid w:val="00D465FA"/>
    <w:rsid w:val="00D466BB"/>
    <w:rsid w:val="00D469C8"/>
    <w:rsid w:val="00D5285C"/>
    <w:rsid w:val="00D52C96"/>
    <w:rsid w:val="00D52ED7"/>
    <w:rsid w:val="00D532B9"/>
    <w:rsid w:val="00D5378E"/>
    <w:rsid w:val="00D53CC3"/>
    <w:rsid w:val="00D54F32"/>
    <w:rsid w:val="00D600A6"/>
    <w:rsid w:val="00D60DC8"/>
    <w:rsid w:val="00D6339F"/>
    <w:rsid w:val="00D66AD8"/>
    <w:rsid w:val="00D73C24"/>
    <w:rsid w:val="00D73CCB"/>
    <w:rsid w:val="00D76307"/>
    <w:rsid w:val="00D77F76"/>
    <w:rsid w:val="00D8020F"/>
    <w:rsid w:val="00D8634A"/>
    <w:rsid w:val="00D86BBF"/>
    <w:rsid w:val="00DA12E5"/>
    <w:rsid w:val="00DA582E"/>
    <w:rsid w:val="00DB0455"/>
    <w:rsid w:val="00DB1163"/>
    <w:rsid w:val="00DB1D13"/>
    <w:rsid w:val="00DB229D"/>
    <w:rsid w:val="00DB33B2"/>
    <w:rsid w:val="00DB6AF0"/>
    <w:rsid w:val="00DB6C8C"/>
    <w:rsid w:val="00DB7632"/>
    <w:rsid w:val="00DC0097"/>
    <w:rsid w:val="00DC214A"/>
    <w:rsid w:val="00DC27C8"/>
    <w:rsid w:val="00DC7C5F"/>
    <w:rsid w:val="00DD421C"/>
    <w:rsid w:val="00DD4B52"/>
    <w:rsid w:val="00DD59A3"/>
    <w:rsid w:val="00DE2D91"/>
    <w:rsid w:val="00DE381F"/>
    <w:rsid w:val="00DE621B"/>
    <w:rsid w:val="00DF1BCC"/>
    <w:rsid w:val="00DF7278"/>
    <w:rsid w:val="00E005AA"/>
    <w:rsid w:val="00E05DFB"/>
    <w:rsid w:val="00E06BE4"/>
    <w:rsid w:val="00E114F5"/>
    <w:rsid w:val="00E15699"/>
    <w:rsid w:val="00E23015"/>
    <w:rsid w:val="00E23855"/>
    <w:rsid w:val="00E31984"/>
    <w:rsid w:val="00E31D3C"/>
    <w:rsid w:val="00E33229"/>
    <w:rsid w:val="00E35981"/>
    <w:rsid w:val="00E377CF"/>
    <w:rsid w:val="00E40A7E"/>
    <w:rsid w:val="00E46254"/>
    <w:rsid w:val="00E510B5"/>
    <w:rsid w:val="00E51DD9"/>
    <w:rsid w:val="00E6048A"/>
    <w:rsid w:val="00E62472"/>
    <w:rsid w:val="00E651C2"/>
    <w:rsid w:val="00E67A5C"/>
    <w:rsid w:val="00E7157C"/>
    <w:rsid w:val="00E73D18"/>
    <w:rsid w:val="00E771F2"/>
    <w:rsid w:val="00E87DE1"/>
    <w:rsid w:val="00E901A7"/>
    <w:rsid w:val="00E9571E"/>
    <w:rsid w:val="00E9758D"/>
    <w:rsid w:val="00EA04A7"/>
    <w:rsid w:val="00EA242C"/>
    <w:rsid w:val="00EA2E03"/>
    <w:rsid w:val="00EA3203"/>
    <w:rsid w:val="00EA43C4"/>
    <w:rsid w:val="00EA6092"/>
    <w:rsid w:val="00EA7E52"/>
    <w:rsid w:val="00EB0BA4"/>
    <w:rsid w:val="00EB5FE3"/>
    <w:rsid w:val="00EB6D91"/>
    <w:rsid w:val="00EC15DC"/>
    <w:rsid w:val="00EC2238"/>
    <w:rsid w:val="00EC3C1C"/>
    <w:rsid w:val="00EC6908"/>
    <w:rsid w:val="00EC756F"/>
    <w:rsid w:val="00EC7F46"/>
    <w:rsid w:val="00ED6C1C"/>
    <w:rsid w:val="00EE06A9"/>
    <w:rsid w:val="00EE0E6B"/>
    <w:rsid w:val="00EE2D92"/>
    <w:rsid w:val="00EE3351"/>
    <w:rsid w:val="00EE59DE"/>
    <w:rsid w:val="00EE5FB4"/>
    <w:rsid w:val="00EF05BC"/>
    <w:rsid w:val="00F013F0"/>
    <w:rsid w:val="00F030CA"/>
    <w:rsid w:val="00F0451C"/>
    <w:rsid w:val="00F07FD3"/>
    <w:rsid w:val="00F15062"/>
    <w:rsid w:val="00F160BB"/>
    <w:rsid w:val="00F168EF"/>
    <w:rsid w:val="00F17F02"/>
    <w:rsid w:val="00F2068C"/>
    <w:rsid w:val="00F22358"/>
    <w:rsid w:val="00F22641"/>
    <w:rsid w:val="00F240F2"/>
    <w:rsid w:val="00F2478B"/>
    <w:rsid w:val="00F247A6"/>
    <w:rsid w:val="00F26DF4"/>
    <w:rsid w:val="00F31F86"/>
    <w:rsid w:val="00F32383"/>
    <w:rsid w:val="00F36D2C"/>
    <w:rsid w:val="00F44886"/>
    <w:rsid w:val="00F449A1"/>
    <w:rsid w:val="00F44C3A"/>
    <w:rsid w:val="00F456DB"/>
    <w:rsid w:val="00F53F7A"/>
    <w:rsid w:val="00F6569C"/>
    <w:rsid w:val="00F70A28"/>
    <w:rsid w:val="00F7140F"/>
    <w:rsid w:val="00F73CEC"/>
    <w:rsid w:val="00F73F7D"/>
    <w:rsid w:val="00F74384"/>
    <w:rsid w:val="00F75ADB"/>
    <w:rsid w:val="00F778B9"/>
    <w:rsid w:val="00F81A78"/>
    <w:rsid w:val="00F82F80"/>
    <w:rsid w:val="00F85E01"/>
    <w:rsid w:val="00F918DE"/>
    <w:rsid w:val="00F9438E"/>
    <w:rsid w:val="00F94709"/>
    <w:rsid w:val="00F95A36"/>
    <w:rsid w:val="00F95C6D"/>
    <w:rsid w:val="00F97B4B"/>
    <w:rsid w:val="00FA1221"/>
    <w:rsid w:val="00FA388B"/>
    <w:rsid w:val="00FA414C"/>
    <w:rsid w:val="00FA4D53"/>
    <w:rsid w:val="00FA629C"/>
    <w:rsid w:val="00FA63FA"/>
    <w:rsid w:val="00FB0E79"/>
    <w:rsid w:val="00FB45FE"/>
    <w:rsid w:val="00FB6096"/>
    <w:rsid w:val="00FB6661"/>
    <w:rsid w:val="00FC49B0"/>
    <w:rsid w:val="00FD00DE"/>
    <w:rsid w:val="00FD0DC3"/>
    <w:rsid w:val="00FD14A6"/>
    <w:rsid w:val="00FD2EFF"/>
    <w:rsid w:val="00FD534E"/>
    <w:rsid w:val="00FE1C53"/>
    <w:rsid w:val="00FE5584"/>
    <w:rsid w:val="00FE6A86"/>
    <w:rsid w:val="00FE7619"/>
    <w:rsid w:val="00FE769B"/>
    <w:rsid w:val="00FF0228"/>
    <w:rsid w:val="00FF27AA"/>
    <w:rsid w:val="00FF3DF9"/>
    <w:rsid w:val="00FF5189"/>
    <w:rsid w:val="00FF6A17"/>
    <w:rsid w:val="014A102B"/>
    <w:rsid w:val="016F1788"/>
    <w:rsid w:val="01FB686F"/>
    <w:rsid w:val="020B1814"/>
    <w:rsid w:val="02881E0B"/>
    <w:rsid w:val="02FD6B8E"/>
    <w:rsid w:val="03035935"/>
    <w:rsid w:val="03105C45"/>
    <w:rsid w:val="03195A7C"/>
    <w:rsid w:val="033A0C37"/>
    <w:rsid w:val="035F40DD"/>
    <w:rsid w:val="03681C3C"/>
    <w:rsid w:val="036C375D"/>
    <w:rsid w:val="040A684F"/>
    <w:rsid w:val="040E3666"/>
    <w:rsid w:val="045126D0"/>
    <w:rsid w:val="045521C0"/>
    <w:rsid w:val="04727719"/>
    <w:rsid w:val="0491701B"/>
    <w:rsid w:val="04F512AE"/>
    <w:rsid w:val="052B507E"/>
    <w:rsid w:val="05483AD3"/>
    <w:rsid w:val="05AA02EA"/>
    <w:rsid w:val="062C6F90"/>
    <w:rsid w:val="06330445"/>
    <w:rsid w:val="064E1F8B"/>
    <w:rsid w:val="069845E6"/>
    <w:rsid w:val="06CA296E"/>
    <w:rsid w:val="07163DF5"/>
    <w:rsid w:val="07740BAF"/>
    <w:rsid w:val="07D141AF"/>
    <w:rsid w:val="07E21FBD"/>
    <w:rsid w:val="080041F1"/>
    <w:rsid w:val="09301BEF"/>
    <w:rsid w:val="09971030"/>
    <w:rsid w:val="0A544B6F"/>
    <w:rsid w:val="0A6A3006"/>
    <w:rsid w:val="0ADD2F10"/>
    <w:rsid w:val="0B2C7611"/>
    <w:rsid w:val="0B987752"/>
    <w:rsid w:val="0BD22349"/>
    <w:rsid w:val="0BF632A8"/>
    <w:rsid w:val="0C0F03DB"/>
    <w:rsid w:val="0C3D6F41"/>
    <w:rsid w:val="0C445C8E"/>
    <w:rsid w:val="0D336E17"/>
    <w:rsid w:val="0D5D390F"/>
    <w:rsid w:val="0D905592"/>
    <w:rsid w:val="0DA1231E"/>
    <w:rsid w:val="0DA168BA"/>
    <w:rsid w:val="0E2C5505"/>
    <w:rsid w:val="0E440E9A"/>
    <w:rsid w:val="0E9658AF"/>
    <w:rsid w:val="0EA224A6"/>
    <w:rsid w:val="0EA87391"/>
    <w:rsid w:val="0EB14497"/>
    <w:rsid w:val="0ECF0DC1"/>
    <w:rsid w:val="0EFD612F"/>
    <w:rsid w:val="0F024913"/>
    <w:rsid w:val="0F0E18EA"/>
    <w:rsid w:val="0F64150A"/>
    <w:rsid w:val="0F6C5FE1"/>
    <w:rsid w:val="0FB1428B"/>
    <w:rsid w:val="0FB31FBB"/>
    <w:rsid w:val="0FBF2BE4"/>
    <w:rsid w:val="0FDC2D75"/>
    <w:rsid w:val="10437036"/>
    <w:rsid w:val="10677CDA"/>
    <w:rsid w:val="109D1177"/>
    <w:rsid w:val="10AD1EDD"/>
    <w:rsid w:val="10CD7582"/>
    <w:rsid w:val="10F93ED3"/>
    <w:rsid w:val="10FE0CF0"/>
    <w:rsid w:val="110765F0"/>
    <w:rsid w:val="1128142A"/>
    <w:rsid w:val="11317B11"/>
    <w:rsid w:val="11A26319"/>
    <w:rsid w:val="122356AC"/>
    <w:rsid w:val="12604522"/>
    <w:rsid w:val="127D139B"/>
    <w:rsid w:val="12D60970"/>
    <w:rsid w:val="13491142"/>
    <w:rsid w:val="136E1102"/>
    <w:rsid w:val="139311B9"/>
    <w:rsid w:val="13ED6D54"/>
    <w:rsid w:val="13F53EE8"/>
    <w:rsid w:val="140B3C53"/>
    <w:rsid w:val="145757D1"/>
    <w:rsid w:val="14A74AA0"/>
    <w:rsid w:val="14DF1632"/>
    <w:rsid w:val="1546345F"/>
    <w:rsid w:val="1557569A"/>
    <w:rsid w:val="163C4F8E"/>
    <w:rsid w:val="166B0E41"/>
    <w:rsid w:val="1786728C"/>
    <w:rsid w:val="180933E1"/>
    <w:rsid w:val="18504D21"/>
    <w:rsid w:val="18522A28"/>
    <w:rsid w:val="18610CDC"/>
    <w:rsid w:val="18F21A3D"/>
    <w:rsid w:val="19544C88"/>
    <w:rsid w:val="19706CFD"/>
    <w:rsid w:val="19722636"/>
    <w:rsid w:val="19836A30"/>
    <w:rsid w:val="199047BA"/>
    <w:rsid w:val="19C06276"/>
    <w:rsid w:val="19DD5162"/>
    <w:rsid w:val="1A106125"/>
    <w:rsid w:val="1A3D7422"/>
    <w:rsid w:val="1A73658B"/>
    <w:rsid w:val="1A9F3B61"/>
    <w:rsid w:val="1AF916A0"/>
    <w:rsid w:val="1B413BDA"/>
    <w:rsid w:val="1B831B74"/>
    <w:rsid w:val="1BE51C24"/>
    <w:rsid w:val="1BEF7997"/>
    <w:rsid w:val="1BF65617"/>
    <w:rsid w:val="1BF754B3"/>
    <w:rsid w:val="1C07202B"/>
    <w:rsid w:val="1C4032FE"/>
    <w:rsid w:val="1CA02D01"/>
    <w:rsid w:val="1CC72309"/>
    <w:rsid w:val="1D271DC8"/>
    <w:rsid w:val="1D954114"/>
    <w:rsid w:val="1DDC75CB"/>
    <w:rsid w:val="1E0218C7"/>
    <w:rsid w:val="1F7976C9"/>
    <w:rsid w:val="1F800611"/>
    <w:rsid w:val="1FB46444"/>
    <w:rsid w:val="204517AA"/>
    <w:rsid w:val="20587E97"/>
    <w:rsid w:val="205C7FDB"/>
    <w:rsid w:val="20603B46"/>
    <w:rsid w:val="207D2DEB"/>
    <w:rsid w:val="211D776A"/>
    <w:rsid w:val="215D246D"/>
    <w:rsid w:val="21DC7625"/>
    <w:rsid w:val="2272042F"/>
    <w:rsid w:val="227C6893"/>
    <w:rsid w:val="229F19B4"/>
    <w:rsid w:val="23286C25"/>
    <w:rsid w:val="232969CF"/>
    <w:rsid w:val="2342086E"/>
    <w:rsid w:val="23C14D25"/>
    <w:rsid w:val="23EB22BF"/>
    <w:rsid w:val="241B595C"/>
    <w:rsid w:val="24747E1D"/>
    <w:rsid w:val="248134DD"/>
    <w:rsid w:val="24D42836"/>
    <w:rsid w:val="2558727E"/>
    <w:rsid w:val="25831F52"/>
    <w:rsid w:val="25F5515A"/>
    <w:rsid w:val="26243349"/>
    <w:rsid w:val="263C3BDB"/>
    <w:rsid w:val="26ED22C2"/>
    <w:rsid w:val="270D0281"/>
    <w:rsid w:val="276E0D20"/>
    <w:rsid w:val="27BB7CDD"/>
    <w:rsid w:val="28B9285D"/>
    <w:rsid w:val="28E03E9F"/>
    <w:rsid w:val="29CE1F49"/>
    <w:rsid w:val="29EF75D4"/>
    <w:rsid w:val="29F633A4"/>
    <w:rsid w:val="2A1F1875"/>
    <w:rsid w:val="2A1F1ED2"/>
    <w:rsid w:val="2A8D25C0"/>
    <w:rsid w:val="2AD92506"/>
    <w:rsid w:val="2AF50B3B"/>
    <w:rsid w:val="2C6536B5"/>
    <w:rsid w:val="2C6D3C9C"/>
    <w:rsid w:val="2C956D4E"/>
    <w:rsid w:val="2D104D84"/>
    <w:rsid w:val="2DDA46A3"/>
    <w:rsid w:val="2DE22CBA"/>
    <w:rsid w:val="2DEA0CD5"/>
    <w:rsid w:val="2E8D0A5F"/>
    <w:rsid w:val="2ED209BA"/>
    <w:rsid w:val="2EDF2503"/>
    <w:rsid w:val="2F002133"/>
    <w:rsid w:val="2F1E14EC"/>
    <w:rsid w:val="2FCC713C"/>
    <w:rsid w:val="2FF05A3E"/>
    <w:rsid w:val="2FF6264F"/>
    <w:rsid w:val="3025488D"/>
    <w:rsid w:val="30DB094B"/>
    <w:rsid w:val="312F666D"/>
    <w:rsid w:val="31557332"/>
    <w:rsid w:val="31A1751E"/>
    <w:rsid w:val="31C87274"/>
    <w:rsid w:val="31E847DB"/>
    <w:rsid w:val="325356E2"/>
    <w:rsid w:val="325D260F"/>
    <w:rsid w:val="326B3788"/>
    <w:rsid w:val="326E671E"/>
    <w:rsid w:val="328E1F5C"/>
    <w:rsid w:val="32C1089D"/>
    <w:rsid w:val="33305A23"/>
    <w:rsid w:val="33792F26"/>
    <w:rsid w:val="3392223A"/>
    <w:rsid w:val="33BB46BD"/>
    <w:rsid w:val="34144243"/>
    <w:rsid w:val="344D1706"/>
    <w:rsid w:val="34515C51"/>
    <w:rsid w:val="345831E6"/>
    <w:rsid w:val="351F6EF7"/>
    <w:rsid w:val="354647FA"/>
    <w:rsid w:val="35610116"/>
    <w:rsid w:val="35EB79DF"/>
    <w:rsid w:val="360D7CB7"/>
    <w:rsid w:val="3673204B"/>
    <w:rsid w:val="36E0506A"/>
    <w:rsid w:val="37780EEB"/>
    <w:rsid w:val="37A53396"/>
    <w:rsid w:val="37CE1367"/>
    <w:rsid w:val="37E05F76"/>
    <w:rsid w:val="386F3073"/>
    <w:rsid w:val="387A7165"/>
    <w:rsid w:val="38BC22B3"/>
    <w:rsid w:val="38C84008"/>
    <w:rsid w:val="397C5542"/>
    <w:rsid w:val="39A44A75"/>
    <w:rsid w:val="39D95CDA"/>
    <w:rsid w:val="3A537871"/>
    <w:rsid w:val="3A7F39E2"/>
    <w:rsid w:val="3A992100"/>
    <w:rsid w:val="3B1559DC"/>
    <w:rsid w:val="3B794751"/>
    <w:rsid w:val="3B9D352A"/>
    <w:rsid w:val="3BAA5C47"/>
    <w:rsid w:val="3BC7092B"/>
    <w:rsid w:val="3CAD3C40"/>
    <w:rsid w:val="3D1141CF"/>
    <w:rsid w:val="3D2A34E3"/>
    <w:rsid w:val="3D503AAF"/>
    <w:rsid w:val="3DB80AEF"/>
    <w:rsid w:val="3DF8538F"/>
    <w:rsid w:val="3DFD1787"/>
    <w:rsid w:val="3E9E2257"/>
    <w:rsid w:val="3F261A88"/>
    <w:rsid w:val="3F422D66"/>
    <w:rsid w:val="3F6E067F"/>
    <w:rsid w:val="3FA0183A"/>
    <w:rsid w:val="40067D34"/>
    <w:rsid w:val="40095632"/>
    <w:rsid w:val="4061546E"/>
    <w:rsid w:val="40EA7211"/>
    <w:rsid w:val="41377F7D"/>
    <w:rsid w:val="41807B75"/>
    <w:rsid w:val="41E410F6"/>
    <w:rsid w:val="42521363"/>
    <w:rsid w:val="42890CAC"/>
    <w:rsid w:val="42D434EC"/>
    <w:rsid w:val="42DE0FF8"/>
    <w:rsid w:val="42E163F2"/>
    <w:rsid w:val="432D7889"/>
    <w:rsid w:val="434D4573"/>
    <w:rsid w:val="44270174"/>
    <w:rsid w:val="44427002"/>
    <w:rsid w:val="446505FA"/>
    <w:rsid w:val="446A18FB"/>
    <w:rsid w:val="446E340C"/>
    <w:rsid w:val="44C61F7F"/>
    <w:rsid w:val="44C722E5"/>
    <w:rsid w:val="456C6BC7"/>
    <w:rsid w:val="458B0897"/>
    <w:rsid w:val="45921C25"/>
    <w:rsid w:val="45BD6059"/>
    <w:rsid w:val="45CC4CD7"/>
    <w:rsid w:val="461F3AE4"/>
    <w:rsid w:val="46733805"/>
    <w:rsid w:val="46752E62"/>
    <w:rsid w:val="46CB1893"/>
    <w:rsid w:val="46E00918"/>
    <w:rsid w:val="47027A25"/>
    <w:rsid w:val="474433F3"/>
    <w:rsid w:val="47446269"/>
    <w:rsid w:val="478015E2"/>
    <w:rsid w:val="48882DBF"/>
    <w:rsid w:val="49056E01"/>
    <w:rsid w:val="49276EFB"/>
    <w:rsid w:val="49AA2236"/>
    <w:rsid w:val="4A4A2F3D"/>
    <w:rsid w:val="4A623FC0"/>
    <w:rsid w:val="4A95144D"/>
    <w:rsid w:val="4ACE6745"/>
    <w:rsid w:val="4B88655F"/>
    <w:rsid w:val="4B890819"/>
    <w:rsid w:val="4B985ABC"/>
    <w:rsid w:val="4BC16080"/>
    <w:rsid w:val="4BF334A5"/>
    <w:rsid w:val="4C1968CD"/>
    <w:rsid w:val="4C573236"/>
    <w:rsid w:val="4CD86981"/>
    <w:rsid w:val="4CF65190"/>
    <w:rsid w:val="4D22679C"/>
    <w:rsid w:val="4D3F33FF"/>
    <w:rsid w:val="4DBF2864"/>
    <w:rsid w:val="4DDC234A"/>
    <w:rsid w:val="4E157C8D"/>
    <w:rsid w:val="4E263853"/>
    <w:rsid w:val="4E2E4535"/>
    <w:rsid w:val="4E5E3BFB"/>
    <w:rsid w:val="4E6B4716"/>
    <w:rsid w:val="4ECF0B64"/>
    <w:rsid w:val="4EE6215C"/>
    <w:rsid w:val="4F3934C6"/>
    <w:rsid w:val="4F891E02"/>
    <w:rsid w:val="4FE85264"/>
    <w:rsid w:val="502909E1"/>
    <w:rsid w:val="504D7453"/>
    <w:rsid w:val="50C80E9E"/>
    <w:rsid w:val="510078F8"/>
    <w:rsid w:val="512902A8"/>
    <w:rsid w:val="519858D7"/>
    <w:rsid w:val="519E347B"/>
    <w:rsid w:val="5238325A"/>
    <w:rsid w:val="52C41CCF"/>
    <w:rsid w:val="52EA5FF8"/>
    <w:rsid w:val="52FC608F"/>
    <w:rsid w:val="53000BCB"/>
    <w:rsid w:val="53566988"/>
    <w:rsid w:val="536E622C"/>
    <w:rsid w:val="53873BB8"/>
    <w:rsid w:val="53933A15"/>
    <w:rsid w:val="53D35CFF"/>
    <w:rsid w:val="53EF1B47"/>
    <w:rsid w:val="5400470E"/>
    <w:rsid w:val="550A2B46"/>
    <w:rsid w:val="550F30EA"/>
    <w:rsid w:val="55314FB7"/>
    <w:rsid w:val="555C2257"/>
    <w:rsid w:val="55952493"/>
    <w:rsid w:val="55A67AAC"/>
    <w:rsid w:val="55B654BC"/>
    <w:rsid w:val="55EA0470"/>
    <w:rsid w:val="56254BAE"/>
    <w:rsid w:val="563209C1"/>
    <w:rsid w:val="56D06491"/>
    <w:rsid w:val="56F161D0"/>
    <w:rsid w:val="56FC13DD"/>
    <w:rsid w:val="57081D47"/>
    <w:rsid w:val="570D3802"/>
    <w:rsid w:val="57ED70EC"/>
    <w:rsid w:val="583C5D85"/>
    <w:rsid w:val="587832AB"/>
    <w:rsid w:val="58CA764F"/>
    <w:rsid w:val="58F22CAF"/>
    <w:rsid w:val="59EB778D"/>
    <w:rsid w:val="5A184997"/>
    <w:rsid w:val="5A511C57"/>
    <w:rsid w:val="5A643739"/>
    <w:rsid w:val="5A90452E"/>
    <w:rsid w:val="5B6B7D2C"/>
    <w:rsid w:val="5B7D7A78"/>
    <w:rsid w:val="5BEB546E"/>
    <w:rsid w:val="5C067EC3"/>
    <w:rsid w:val="5C406A8D"/>
    <w:rsid w:val="5C495DD3"/>
    <w:rsid w:val="5CB00EB7"/>
    <w:rsid w:val="5CB66090"/>
    <w:rsid w:val="5CD46F30"/>
    <w:rsid w:val="5D281314"/>
    <w:rsid w:val="5D5947CB"/>
    <w:rsid w:val="5D610403"/>
    <w:rsid w:val="5D7B1E11"/>
    <w:rsid w:val="5D9562FF"/>
    <w:rsid w:val="5E737528"/>
    <w:rsid w:val="5E825A18"/>
    <w:rsid w:val="5EB54530"/>
    <w:rsid w:val="5F153DF6"/>
    <w:rsid w:val="5F816620"/>
    <w:rsid w:val="5F8C5696"/>
    <w:rsid w:val="5F9B790E"/>
    <w:rsid w:val="5F9E7655"/>
    <w:rsid w:val="5FCD7FD2"/>
    <w:rsid w:val="60340051"/>
    <w:rsid w:val="604A0733"/>
    <w:rsid w:val="61133E1C"/>
    <w:rsid w:val="61262589"/>
    <w:rsid w:val="614F7D5C"/>
    <w:rsid w:val="61D45648"/>
    <w:rsid w:val="61EB0897"/>
    <w:rsid w:val="62214BCD"/>
    <w:rsid w:val="624B51DE"/>
    <w:rsid w:val="62A0552A"/>
    <w:rsid w:val="62B02C7A"/>
    <w:rsid w:val="62DC2771"/>
    <w:rsid w:val="6322403F"/>
    <w:rsid w:val="634C3904"/>
    <w:rsid w:val="63E47698"/>
    <w:rsid w:val="63F0211E"/>
    <w:rsid w:val="640F6E0B"/>
    <w:rsid w:val="641D05B5"/>
    <w:rsid w:val="64333354"/>
    <w:rsid w:val="64490689"/>
    <w:rsid w:val="64B926F3"/>
    <w:rsid w:val="64CE2822"/>
    <w:rsid w:val="64F31FBE"/>
    <w:rsid w:val="657469A2"/>
    <w:rsid w:val="65EB11B2"/>
    <w:rsid w:val="6678592C"/>
    <w:rsid w:val="66CB3E71"/>
    <w:rsid w:val="66D460EA"/>
    <w:rsid w:val="670A7D87"/>
    <w:rsid w:val="67621188"/>
    <w:rsid w:val="679865DF"/>
    <w:rsid w:val="67FF7D1B"/>
    <w:rsid w:val="680C5410"/>
    <w:rsid w:val="6817289B"/>
    <w:rsid w:val="683C3BAD"/>
    <w:rsid w:val="684A5B95"/>
    <w:rsid w:val="68522BFC"/>
    <w:rsid w:val="68945B31"/>
    <w:rsid w:val="689A0C6D"/>
    <w:rsid w:val="69344034"/>
    <w:rsid w:val="69562DE6"/>
    <w:rsid w:val="69C441F4"/>
    <w:rsid w:val="69D45F66"/>
    <w:rsid w:val="6A733103"/>
    <w:rsid w:val="6B5E086B"/>
    <w:rsid w:val="6BBF3F1F"/>
    <w:rsid w:val="6BD91981"/>
    <w:rsid w:val="6C2B055A"/>
    <w:rsid w:val="6CA56E62"/>
    <w:rsid w:val="6D371181"/>
    <w:rsid w:val="6D464F20"/>
    <w:rsid w:val="6D5A2378"/>
    <w:rsid w:val="6D627650"/>
    <w:rsid w:val="6DBC51E2"/>
    <w:rsid w:val="6E496277"/>
    <w:rsid w:val="6E4C551C"/>
    <w:rsid w:val="6E8201DA"/>
    <w:rsid w:val="6EC86AEC"/>
    <w:rsid w:val="6F457B85"/>
    <w:rsid w:val="6F5715B3"/>
    <w:rsid w:val="6FB645DF"/>
    <w:rsid w:val="6FBE3493"/>
    <w:rsid w:val="6FF944CB"/>
    <w:rsid w:val="70515227"/>
    <w:rsid w:val="705249E5"/>
    <w:rsid w:val="705633FF"/>
    <w:rsid w:val="70952446"/>
    <w:rsid w:val="70B825D8"/>
    <w:rsid w:val="716D31FF"/>
    <w:rsid w:val="718F5671"/>
    <w:rsid w:val="71C31235"/>
    <w:rsid w:val="72247F25"/>
    <w:rsid w:val="7231619E"/>
    <w:rsid w:val="72872262"/>
    <w:rsid w:val="72891919"/>
    <w:rsid w:val="729535C8"/>
    <w:rsid w:val="72C44108"/>
    <w:rsid w:val="72E871A5"/>
    <w:rsid w:val="72F84F0E"/>
    <w:rsid w:val="73497518"/>
    <w:rsid w:val="735A1725"/>
    <w:rsid w:val="736C5CE3"/>
    <w:rsid w:val="73EA2E0C"/>
    <w:rsid w:val="74DC7DC0"/>
    <w:rsid w:val="750C4747"/>
    <w:rsid w:val="750E53EA"/>
    <w:rsid w:val="75217819"/>
    <w:rsid w:val="75381513"/>
    <w:rsid w:val="756F43A4"/>
    <w:rsid w:val="75A0289D"/>
    <w:rsid w:val="7621477C"/>
    <w:rsid w:val="76214FBA"/>
    <w:rsid w:val="762F50EB"/>
    <w:rsid w:val="764B6FEF"/>
    <w:rsid w:val="764C13E6"/>
    <w:rsid w:val="764C1B6D"/>
    <w:rsid w:val="76883E7E"/>
    <w:rsid w:val="76CA57C0"/>
    <w:rsid w:val="7733135F"/>
    <w:rsid w:val="774D3A7A"/>
    <w:rsid w:val="77AF6AAE"/>
    <w:rsid w:val="781A5362"/>
    <w:rsid w:val="781C146C"/>
    <w:rsid w:val="795409C4"/>
    <w:rsid w:val="797F5765"/>
    <w:rsid w:val="79AB4472"/>
    <w:rsid w:val="79E71E03"/>
    <w:rsid w:val="7A3C091D"/>
    <w:rsid w:val="7A9814B1"/>
    <w:rsid w:val="7A996FD7"/>
    <w:rsid w:val="7AA01595"/>
    <w:rsid w:val="7AED10D1"/>
    <w:rsid w:val="7B304B57"/>
    <w:rsid w:val="7B97638F"/>
    <w:rsid w:val="7BC679DB"/>
    <w:rsid w:val="7BDA78A7"/>
    <w:rsid w:val="7C0209F2"/>
    <w:rsid w:val="7C1D3E09"/>
    <w:rsid w:val="7C377F63"/>
    <w:rsid w:val="7C835849"/>
    <w:rsid w:val="7CFA17A4"/>
    <w:rsid w:val="7CFF7097"/>
    <w:rsid w:val="7D2A2168"/>
    <w:rsid w:val="7DDF3CA2"/>
    <w:rsid w:val="7E9C4930"/>
    <w:rsid w:val="7EC34622"/>
    <w:rsid w:val="7EE34CC4"/>
    <w:rsid w:val="7F846000"/>
    <w:rsid w:val="7F8C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 w:cstheme="minorBidi"/>
      <w:kern w:val="2"/>
      <w:sz w:val="30"/>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next w:val="1"/>
    <w:link w:val="23"/>
    <w:unhideWhenUsed/>
    <w:qFormat/>
    <w:uiPriority w:val="9"/>
    <w:pPr>
      <w:keepNext/>
      <w:keepLines/>
      <w:spacing w:before="260" w:after="260" w:line="415" w:lineRule="auto"/>
      <w:outlineLvl w:val="1"/>
    </w:pPr>
    <w:rPr>
      <w:rFonts w:asciiTheme="majorHAnsi" w:hAnsiTheme="majorHAnsi" w:eastAsiaTheme="majorEastAsia" w:cstheme="majorBidi"/>
      <w:b/>
      <w:bCs/>
      <w:color w:val="000000"/>
      <w:kern w:val="0"/>
      <w:sz w:val="32"/>
      <w:szCs w:val="32"/>
      <w:lang w:val="en-US" w:eastAsia="zh-CN" w:bidi="ar-SA"/>
    </w:rPr>
  </w:style>
  <w:style w:type="paragraph" w:styleId="4">
    <w:name w:val="heading 3"/>
    <w:basedOn w:val="1"/>
    <w:next w:val="1"/>
    <w:link w:val="24"/>
    <w:semiHidden/>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caption"/>
    <w:basedOn w:val="1"/>
    <w:next w:val="1"/>
    <w:semiHidden/>
    <w:unhideWhenUsed/>
    <w:qFormat/>
    <w:uiPriority w:val="35"/>
    <w:rPr>
      <w:rFonts w:ascii="Arial" w:hAnsi="Arial" w:eastAsia="黑体"/>
      <w:sz w:val="20"/>
    </w:rPr>
  </w:style>
  <w:style w:type="paragraph" w:styleId="6">
    <w:name w:val="annotation text"/>
    <w:basedOn w:val="1"/>
    <w:link w:val="45"/>
    <w:semiHidden/>
    <w:unhideWhenUsed/>
    <w:qFormat/>
    <w:uiPriority w:val="99"/>
    <w:pPr>
      <w:jc w:val="left"/>
    </w:pPr>
  </w:style>
  <w:style w:type="paragraph" w:styleId="7">
    <w:name w:val="Body Text"/>
    <w:basedOn w:val="1"/>
    <w:link w:val="29"/>
    <w:qFormat/>
    <w:uiPriority w:val="1"/>
    <w:pPr>
      <w:ind w:left="120"/>
      <w:jc w:val="left"/>
    </w:pPr>
    <w:rPr>
      <w:rFonts w:ascii="宋体" w:hAnsi="宋体" w:eastAsia="宋体"/>
      <w:kern w:val="0"/>
      <w:sz w:val="24"/>
      <w:szCs w:val="24"/>
      <w:lang w:eastAsia="en-US"/>
    </w:rPr>
  </w:style>
  <w:style w:type="paragraph" w:styleId="8">
    <w:name w:val="toc 3"/>
    <w:basedOn w:val="1"/>
    <w:next w:val="1"/>
    <w:autoRedefine/>
    <w:unhideWhenUsed/>
    <w:qFormat/>
    <w:uiPriority w:val="39"/>
    <w:pPr>
      <w:widowControl/>
      <w:spacing w:after="100" w:line="259" w:lineRule="auto"/>
      <w:ind w:left="440" w:firstLine="0" w:firstLineChars="0"/>
      <w:jc w:val="left"/>
    </w:pPr>
    <w:rPr>
      <w:rFonts w:cs="Times New Roman" w:eastAsiaTheme="minorEastAsia"/>
      <w:kern w:val="0"/>
      <w:sz w:val="22"/>
    </w:rPr>
  </w:style>
  <w:style w:type="paragraph" w:styleId="9">
    <w:name w:val="Balloon Text"/>
    <w:basedOn w:val="1"/>
    <w:link w:val="36"/>
    <w:semiHidden/>
    <w:unhideWhenUsed/>
    <w:qFormat/>
    <w:uiPriority w:val="99"/>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pPr>
      <w:widowControl/>
      <w:spacing w:after="100" w:line="259" w:lineRule="auto"/>
      <w:ind w:firstLine="0" w:firstLineChars="0"/>
      <w:jc w:val="left"/>
    </w:pPr>
    <w:rPr>
      <w:rFonts w:cs="Times New Roman" w:eastAsiaTheme="minorEastAsia"/>
      <w:kern w:val="0"/>
      <w:sz w:val="22"/>
    </w:rPr>
  </w:style>
  <w:style w:type="paragraph" w:styleId="13">
    <w:name w:val="toc 2"/>
    <w:basedOn w:val="1"/>
    <w:next w:val="1"/>
    <w:autoRedefine/>
    <w:unhideWhenUsed/>
    <w:qFormat/>
    <w:uiPriority w:val="39"/>
    <w:pPr>
      <w:widowControl/>
      <w:spacing w:after="100" w:line="259" w:lineRule="auto"/>
      <w:ind w:left="220" w:firstLine="0" w:firstLineChars="0"/>
      <w:jc w:val="left"/>
    </w:pPr>
    <w:rPr>
      <w:rFonts w:cs="Times New Roman" w:eastAsiaTheme="minorEastAsia"/>
      <w:kern w:val="0"/>
      <w:sz w:val="22"/>
    </w:r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Title"/>
    <w:basedOn w:val="1"/>
    <w:next w:val="1"/>
    <w:qFormat/>
    <w:uiPriority w:val="0"/>
    <w:pPr>
      <w:jc w:val="center"/>
      <w:outlineLvl w:val="0"/>
    </w:pPr>
    <w:rPr>
      <w:rFonts w:hint="eastAsia" w:ascii="方正小标宋_GBK" w:hAnsi="方正小标宋_GBK" w:eastAsia="方正小标宋_GBK"/>
      <w:sz w:val="44"/>
      <w:szCs w:val="44"/>
    </w:rPr>
  </w:style>
  <w:style w:type="paragraph" w:styleId="16">
    <w:name w:val="annotation subject"/>
    <w:basedOn w:val="6"/>
    <w:next w:val="6"/>
    <w:link w:val="46"/>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00"/>
      <w:u w:val="none"/>
    </w:rPr>
  </w:style>
  <w:style w:type="character" w:styleId="21">
    <w:name w:val="annotation reference"/>
    <w:basedOn w:val="19"/>
    <w:semiHidden/>
    <w:unhideWhenUsed/>
    <w:qFormat/>
    <w:uiPriority w:val="99"/>
    <w:rPr>
      <w:sz w:val="21"/>
      <w:szCs w:val="21"/>
    </w:rPr>
  </w:style>
  <w:style w:type="character" w:customStyle="1" w:styleId="22">
    <w:name w:val="标题 1 字符"/>
    <w:basedOn w:val="19"/>
    <w:link w:val="2"/>
    <w:qFormat/>
    <w:uiPriority w:val="9"/>
    <w:rPr>
      <w:b/>
      <w:bCs/>
      <w:kern w:val="44"/>
      <w:sz w:val="44"/>
      <w:szCs w:val="44"/>
    </w:rPr>
  </w:style>
  <w:style w:type="character" w:customStyle="1" w:styleId="23">
    <w:name w:val="标题 2 字符"/>
    <w:basedOn w:val="19"/>
    <w:link w:val="3"/>
    <w:qFormat/>
    <w:uiPriority w:val="9"/>
    <w:rPr>
      <w:rFonts w:asciiTheme="majorHAnsi" w:hAnsiTheme="majorHAnsi" w:eastAsiaTheme="majorEastAsia" w:cstheme="majorBidi"/>
      <w:b/>
      <w:bCs/>
      <w:color w:val="000000"/>
      <w:kern w:val="0"/>
      <w:sz w:val="32"/>
      <w:szCs w:val="32"/>
    </w:rPr>
  </w:style>
  <w:style w:type="character" w:customStyle="1" w:styleId="24">
    <w:name w:val="标题 3 字符"/>
    <w:basedOn w:val="19"/>
    <w:link w:val="4"/>
    <w:semiHidden/>
    <w:qFormat/>
    <w:uiPriority w:val="9"/>
    <w:rPr>
      <w:b/>
      <w:bCs/>
      <w:sz w:val="32"/>
      <w:szCs w:val="32"/>
    </w:rPr>
  </w:style>
  <w:style w:type="paragraph" w:customStyle="1" w:styleId="25">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6">
    <w:name w:val="页眉 字符"/>
    <w:basedOn w:val="19"/>
    <w:link w:val="11"/>
    <w:qFormat/>
    <w:uiPriority w:val="99"/>
    <w:rPr>
      <w:sz w:val="18"/>
      <w:szCs w:val="18"/>
    </w:rPr>
  </w:style>
  <w:style w:type="character" w:customStyle="1" w:styleId="27">
    <w:name w:val="页脚 字符"/>
    <w:basedOn w:val="19"/>
    <w:link w:val="10"/>
    <w:qFormat/>
    <w:uiPriority w:val="99"/>
    <w:rPr>
      <w:sz w:val="18"/>
      <w:szCs w:val="18"/>
    </w:rPr>
  </w:style>
  <w:style w:type="paragraph" w:styleId="28">
    <w:name w:val="List Paragraph"/>
    <w:basedOn w:val="1"/>
    <w:qFormat/>
    <w:uiPriority w:val="34"/>
    <w:pPr>
      <w:ind w:firstLine="420"/>
    </w:pPr>
  </w:style>
  <w:style w:type="character" w:customStyle="1" w:styleId="29">
    <w:name w:val="正文文本 字符"/>
    <w:basedOn w:val="19"/>
    <w:link w:val="7"/>
    <w:qFormat/>
    <w:uiPriority w:val="1"/>
    <w:rPr>
      <w:rFonts w:ascii="宋体" w:hAnsi="宋体" w:eastAsia="宋体"/>
      <w:kern w:val="0"/>
      <w:sz w:val="24"/>
      <w:szCs w:val="24"/>
      <w:lang w:eastAsia="en-US"/>
    </w:rPr>
  </w:style>
  <w:style w:type="character" w:customStyle="1" w:styleId="30">
    <w:name w:val="fontstyle01"/>
    <w:basedOn w:val="19"/>
    <w:qFormat/>
    <w:uiPriority w:val="0"/>
    <w:rPr>
      <w:rFonts w:hint="default" w:ascii="TimesNewRomanPSMT" w:hAnsi="TimesNewRomanPSMT"/>
      <w:color w:val="000000"/>
      <w:sz w:val="24"/>
      <w:szCs w:val="24"/>
    </w:rPr>
  </w:style>
  <w:style w:type="character" w:customStyle="1" w:styleId="31">
    <w:name w:val="fontstyle21"/>
    <w:basedOn w:val="19"/>
    <w:qFormat/>
    <w:uiPriority w:val="0"/>
    <w:rPr>
      <w:rFonts w:hint="eastAsia" w:ascii="宋体" w:hAnsi="宋体" w:eastAsia="宋体"/>
      <w:color w:val="000000"/>
      <w:sz w:val="24"/>
      <w:szCs w:val="24"/>
    </w:rPr>
  </w:style>
  <w:style w:type="paragraph" w:customStyle="1" w:styleId="32">
    <w:name w:val="段"/>
    <w:link w:val="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33">
    <w:name w:val="段 Char"/>
    <w:link w:val="32"/>
    <w:qFormat/>
    <w:uiPriority w:val="0"/>
    <w:rPr>
      <w:rFonts w:ascii="宋体" w:hAnsi="Times New Roman" w:eastAsia="宋体" w:cs="Times New Roman"/>
      <w:kern w:val="0"/>
      <w:szCs w:val="20"/>
    </w:rPr>
  </w:style>
  <w:style w:type="character" w:customStyle="1" w:styleId="34">
    <w:name w:val="fontstyle11"/>
    <w:basedOn w:val="19"/>
    <w:qFormat/>
    <w:uiPriority w:val="0"/>
    <w:rPr>
      <w:rFonts w:hint="default" w:ascii="TimesNewRomanPSMT" w:hAnsi="TimesNewRomanPSMT"/>
      <w:color w:val="000000"/>
      <w:sz w:val="24"/>
      <w:szCs w:val="24"/>
    </w:rPr>
  </w:style>
  <w:style w:type="paragraph" w:customStyle="1" w:styleId="3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36">
    <w:name w:val="批注框文本 字符"/>
    <w:basedOn w:val="19"/>
    <w:link w:val="9"/>
    <w:semiHidden/>
    <w:qFormat/>
    <w:uiPriority w:val="99"/>
    <w:rPr>
      <w:sz w:val="18"/>
      <w:szCs w:val="18"/>
    </w:rPr>
  </w:style>
  <w:style w:type="paragraph" w:customStyle="1" w:styleId="37">
    <w:name w:val="无间隔1"/>
    <w:qFormat/>
    <w:uiPriority w:val="0"/>
    <w:pPr>
      <w:widowControl w:val="0"/>
      <w:ind w:firstLine="200" w:firstLineChars="200"/>
      <w:jc w:val="both"/>
    </w:pPr>
    <w:rPr>
      <w:rFonts w:ascii="Calibri" w:hAnsi="Calibri" w:eastAsia="宋体" w:cs="Times New Roman"/>
      <w:kern w:val="2"/>
      <w:sz w:val="21"/>
      <w:szCs w:val="21"/>
      <w:lang w:val="en-US" w:eastAsia="zh-CN" w:bidi="ar-SA"/>
    </w:rPr>
  </w:style>
  <w:style w:type="paragraph" w:customStyle="1" w:styleId="38">
    <w:name w:val="章标题"/>
    <w:next w:val="32"/>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39">
    <w:name w:val="二级条标题"/>
    <w:basedOn w:val="1"/>
    <w:next w:val="32"/>
    <w:qFormat/>
    <w:uiPriority w:val="0"/>
    <w:pPr>
      <w:widowControl/>
      <w:numPr>
        <w:ilvl w:val="2"/>
        <w:numId w:val="1"/>
      </w:numPr>
      <w:spacing w:before="50" w:beforeLines="50" w:after="50" w:afterLines="50"/>
      <w:jc w:val="left"/>
      <w:outlineLvl w:val="3"/>
    </w:pPr>
    <w:rPr>
      <w:rFonts w:ascii="黑体" w:hAnsi="Times New Roman" w:eastAsia="黑体" w:cs="Times New Roman"/>
      <w:kern w:val="0"/>
      <w:szCs w:val="21"/>
    </w:rPr>
  </w:style>
  <w:style w:type="paragraph" w:customStyle="1" w:styleId="40">
    <w:name w:val="三级条标题"/>
    <w:basedOn w:val="39"/>
    <w:next w:val="32"/>
    <w:qFormat/>
    <w:uiPriority w:val="0"/>
    <w:pPr>
      <w:numPr>
        <w:ilvl w:val="3"/>
      </w:numPr>
      <w:outlineLvl w:val="4"/>
    </w:pPr>
  </w:style>
  <w:style w:type="paragraph" w:customStyle="1" w:styleId="41">
    <w:name w:val="四级条标题"/>
    <w:basedOn w:val="40"/>
    <w:next w:val="32"/>
    <w:qFormat/>
    <w:uiPriority w:val="0"/>
    <w:pPr>
      <w:numPr>
        <w:ilvl w:val="4"/>
      </w:numPr>
      <w:outlineLvl w:val="5"/>
    </w:pPr>
  </w:style>
  <w:style w:type="paragraph" w:customStyle="1" w:styleId="42">
    <w:name w:val="五级条标题"/>
    <w:basedOn w:val="41"/>
    <w:next w:val="32"/>
    <w:qFormat/>
    <w:uiPriority w:val="0"/>
    <w:pPr>
      <w:numPr>
        <w:ilvl w:val="5"/>
      </w:numPr>
      <w:outlineLvl w:val="6"/>
    </w:pPr>
  </w:style>
  <w:style w:type="table" w:customStyle="1" w:styleId="43">
    <w:name w:val="Plain Table 2"/>
    <w:basedOn w:val="17"/>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44">
    <w:name w:val="一级条标题"/>
    <w:next w:val="32"/>
    <w:qFormat/>
    <w:uiPriority w:val="0"/>
    <w:pPr>
      <w:spacing w:before="156" w:beforeLines="50" w:after="156" w:afterLines="50"/>
      <w:outlineLvl w:val="2"/>
    </w:pPr>
    <w:rPr>
      <w:rFonts w:ascii="黑体" w:hAnsi="Times New Roman" w:eastAsia="黑体" w:cs="Times New Roman"/>
      <w:kern w:val="0"/>
      <w:sz w:val="21"/>
      <w:szCs w:val="21"/>
      <w:lang w:val="en-US" w:eastAsia="zh-CN" w:bidi="ar-SA"/>
    </w:rPr>
  </w:style>
  <w:style w:type="character" w:customStyle="1" w:styleId="45">
    <w:name w:val="批注文字 字符"/>
    <w:basedOn w:val="19"/>
    <w:link w:val="6"/>
    <w:semiHidden/>
    <w:qFormat/>
    <w:uiPriority w:val="99"/>
    <w:rPr>
      <w:rFonts w:eastAsia="仿宋"/>
      <w:sz w:val="30"/>
    </w:rPr>
  </w:style>
  <w:style w:type="character" w:customStyle="1" w:styleId="46">
    <w:name w:val="批注主题 字符"/>
    <w:basedOn w:val="45"/>
    <w:link w:val="16"/>
    <w:semiHidden/>
    <w:qFormat/>
    <w:uiPriority w:val="99"/>
    <w:rPr>
      <w:rFonts w:eastAsia="仿宋"/>
      <w:b/>
      <w:bCs/>
      <w:sz w:val="30"/>
    </w:rPr>
  </w:style>
  <w:style w:type="paragraph" w:customStyle="1" w:styleId="47">
    <w:name w:val="3"/>
    <w:basedOn w:val="1"/>
    <w:autoRedefine/>
    <w:qFormat/>
    <w:uiPriority w:val="0"/>
    <w:pPr>
      <w:adjustRightInd w:val="0"/>
      <w:snapToGrid w:val="0"/>
      <w:spacing w:line="360" w:lineRule="auto"/>
      <w:ind w:firstLine="560" w:firstLineChars="200"/>
    </w:pPr>
    <w:rPr>
      <w:rFonts w:ascii="仿宋" w:hAnsi="仿宋" w:eastAsia="仿宋" w:cs="Times New Roman"/>
      <w:sz w:val="28"/>
      <w:szCs w:val="28"/>
    </w:rPr>
  </w:style>
  <w:style w:type="paragraph" w:customStyle="1" w:styleId="48">
    <w:name w:val="1"/>
    <w:basedOn w:val="1"/>
    <w:autoRedefine/>
    <w:qFormat/>
    <w:uiPriority w:val="0"/>
    <w:pPr>
      <w:adjustRightInd w:val="0"/>
      <w:snapToGrid w:val="0"/>
      <w:spacing w:line="360" w:lineRule="auto"/>
      <w:ind w:firstLine="640" w:firstLineChars="200"/>
      <w:outlineLvl w:val="0"/>
    </w:pPr>
    <w:rPr>
      <w:rFonts w:ascii="黑体" w:hAnsi="黑体" w:eastAsia="黑体" w:cs="Times New Roman"/>
      <w:sz w:val="32"/>
      <w:szCs w:val="32"/>
    </w:rPr>
  </w:style>
  <w:style w:type="paragraph" w:customStyle="1" w:styleId="49">
    <w:name w:val="2"/>
    <w:basedOn w:val="1"/>
    <w:autoRedefine/>
    <w:qFormat/>
    <w:uiPriority w:val="0"/>
    <w:pPr>
      <w:adjustRightInd w:val="0"/>
      <w:snapToGrid w:val="0"/>
      <w:spacing w:line="360" w:lineRule="auto"/>
      <w:ind w:firstLine="602" w:firstLineChars="200"/>
      <w:outlineLvl w:val="1"/>
    </w:pPr>
    <w:rPr>
      <w:rFonts w:ascii="仿宋" w:hAnsi="仿宋" w:eastAsia="仿宋" w:cs="Times New Roman"/>
      <w:b/>
      <w:sz w:val="30"/>
      <w:szCs w:val="30"/>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
    <w:name w:val="标准文件_表格"/>
    <w:basedOn w:val="50"/>
    <w:qFormat/>
    <w:uiPriority w:val="0"/>
    <w:pPr>
      <w:ind w:firstLine="0" w:firstLineChars="0"/>
      <w:jc w:val="center"/>
    </w:pPr>
    <w:rPr>
      <w:sz w:val="18"/>
    </w:rPr>
  </w:style>
  <w:style w:type="paragraph" w:customStyle="1" w:styleId="52">
    <w:name w:val="标准文件_一级条标题"/>
    <w:basedOn w:val="53"/>
    <w:next w:val="50"/>
    <w:qFormat/>
    <w:uiPriority w:val="0"/>
    <w:pPr>
      <w:numPr>
        <w:ilvl w:val="2"/>
      </w:numPr>
      <w:spacing w:before="50" w:beforeLines="50" w:after="50" w:afterLines="50"/>
      <w:outlineLvl w:val="1"/>
    </w:pPr>
  </w:style>
  <w:style w:type="paragraph" w:customStyle="1" w:styleId="53">
    <w:name w:val="标准文件_章标题"/>
    <w:next w:val="5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table" w:customStyle="1" w:styleId="54">
    <w:name w:val="无格式表格 21"/>
    <w:basedOn w:val="17"/>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7F7F7F" w:sz="4" w:space="0"/>
        <w:bottom w:val="single" w:color="7F7F7F" w:sz="4" w:space="0"/>
      </w:tblBorders>
      <w:tblCellMar>
        <w:top w:w="0" w:type="dxa"/>
        <w:left w:w="108" w:type="dxa"/>
        <w:bottom w:w="0" w:type="dxa"/>
        <w:right w:w="108" w:type="dxa"/>
      </w:tblCellMar>
    </w:tblPr>
    <w:tcPr>
      <w:tcBorders>
        <w:top w:val="single" w:color="7F7F7F" w:sz="4" w:space="0"/>
        <w:left w:val="nil"/>
        <w:bottom w:val="single" w:color="7F7F7F" w:sz="4" w:space="0"/>
        <w:right w:val="nil"/>
      </w:tcBorders>
    </w:tc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character" w:customStyle="1" w:styleId="55">
    <w:name w:val="font21"/>
    <w:basedOn w:val="19"/>
    <w:qFormat/>
    <w:uiPriority w:val="0"/>
    <w:rPr>
      <w:rFonts w:hint="default" w:ascii="Times New Roman" w:hAnsi="Times New Roman" w:cs="Times New Roman"/>
      <w:color w:val="000000"/>
      <w:sz w:val="28"/>
      <w:szCs w:val="28"/>
      <w:u w:val="none"/>
    </w:rPr>
  </w:style>
  <w:style w:type="character" w:customStyle="1" w:styleId="56">
    <w:name w:val="font11"/>
    <w:basedOn w:val="19"/>
    <w:qFormat/>
    <w:uiPriority w:val="0"/>
    <w:rPr>
      <w:rFonts w:hint="eastAsia" w:ascii="仿宋" w:hAnsi="仿宋" w:eastAsia="仿宋" w:cs="仿宋"/>
      <w:color w:val="000000"/>
      <w:sz w:val="28"/>
      <w:szCs w:val="28"/>
      <w:u w:val="none"/>
    </w:rPr>
  </w:style>
  <w:style w:type="paragraph" w:customStyle="1" w:styleId="57">
    <w:name w:val="标准文件_一级无标题"/>
    <w:basedOn w:val="52"/>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14334</Words>
  <Characters>15781</Characters>
  <Lines>72</Lines>
  <Paragraphs>20</Paragraphs>
  <TotalTime>5</TotalTime>
  <ScaleCrop>false</ScaleCrop>
  <LinksUpToDate>false</LinksUpToDate>
  <CharactersWithSpaces>16209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2024-10-11T16:56:00Z</dcterms:created>
  <dc:creator>Zhang Yuting</dc:creator>
  <cp:lastModifiedBy>Gao Yan</cp:lastModifiedBy>
  <cp:lastPrinted>2024-10-11T17:56:00Z</cp:lastPrinted>
  <dcterms:modified xsi:type="dcterms:W3CDTF">2025-05-30T01:42:42Z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74E4C7EBBA134F169C23E98821F33385_12</vt:lpwstr>
  </property>
  <property fmtid="{D5CDD505-2E9C-101B-9397-08002B2CF9AE}" pid="4" name="KSOTemplateDocerSaveRecord">
    <vt:lpwstr>eyJoZGlkIjoiYmJjM2Y4MWE4ODc0ODM3NGM0ZmYzZGU0MjhkODhlZDYiLCJ1c2VySWQiOiI0NTI0ODExODQifQ==</vt:lpwstr>
  </property>
</Properties>
</file>