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t>07.040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 xml:space="preserve">A </w:t>
            </w:r>
            <w:r>
              <w:rPr>
                <w:rFonts w:ascii="黑体" w:hAnsi="黑体" w:eastAsia="黑体"/>
                <w:sz w:val="21"/>
                <w:szCs w:val="21"/>
              </w:rPr>
              <w:t>7</w:t>
            </w:r>
            <w:r>
              <w:rPr>
                <w:rFonts w:hint="eastAsia" w:ascii="黑体" w:hAnsi="黑体" w:eastAsia="黑体"/>
                <w:sz w:val="21"/>
                <w:szCs w:val="21"/>
              </w:rPr>
              <w:t>5</w:t>
            </w:r>
          </w:p>
        </w:tc>
      </w:tr>
    </w:tbl>
    <w:tbl>
      <w:tblPr>
        <w:tblStyle w:val="29"/>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3"/>
              <w:framePr w:w="0" w:hRule="auto" w:wrap="auto" w:vAnchor="margin" w:hAnchor="text" w:xAlign="left" w:yAlign="inline"/>
              <w:ind w:firstLine="420"/>
            </w:pPr>
            <w:bookmarkStart w:id="0" w:name="_Hlk26473981"/>
            <w:r>
              <w:rPr>
                <w:rFonts w:hint="eastAsia"/>
              </w:rPr>
              <w:t>CH</w:t>
            </w:r>
          </w:p>
        </w:tc>
      </w:tr>
    </w:tbl>
    <w:p>
      <w:pPr>
        <w:pStyle w:val="54"/>
        <w:framePr w:w="9639" w:h="624" w:hRule="exact" w:hSpace="181" w:vSpace="181" w:wrap="around"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1"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测绘</w:t>
      </w:r>
      <w:r>
        <w:rPr>
          <w:rFonts w:ascii="黑体" w:eastAsia="黑体"/>
          <w:b w:val="0"/>
          <w:bCs w:val="0"/>
          <w:w w:val="100"/>
          <w:sz w:val="48"/>
        </w:rPr>
        <w:fldChar w:fldCharType="end"/>
      </w:r>
      <w:bookmarkEnd w:id="1"/>
      <w:r>
        <w:rPr>
          <w:rFonts w:hint="eastAsia" w:ascii="黑体" w:hAnsi="黑体" w:eastAsia="黑体"/>
          <w:b w:val="0"/>
          <w:bCs w:val="0"/>
          <w:w w:val="100"/>
          <w:sz w:val="48"/>
          <w:szCs w:val="48"/>
        </w:rPr>
        <w:t>行业标准</w:t>
      </w:r>
    </w:p>
    <w:bookmarkEnd w:id="0"/>
    <w:p>
      <w:pPr>
        <w:pStyle w:val="199"/>
        <w:rPr>
          <w:lang w:val="fr-FR"/>
        </w:rPr>
      </w:pPr>
      <w:r>
        <w:fldChar w:fldCharType="begin">
          <w:ffData>
            <w:name w:val="文字1"/>
            <w:enabled/>
            <w:calcOnExit w:val="0"/>
            <w:textInput>
              <w:default w:val="CH/T"/>
            </w:textInput>
          </w:ffData>
        </w:fldChar>
      </w:r>
      <w:bookmarkStart w:id="2" w:name="文字1"/>
      <w:r>
        <w:instrText xml:space="preserve"> FORMTEXT </w:instrText>
      </w:r>
      <w:r>
        <w:fldChar w:fldCharType="separate"/>
      </w:r>
      <w:r>
        <w:t>CH/T</w:t>
      </w:r>
      <w:r>
        <w:fldChar w:fldCharType="end"/>
      </w:r>
      <w:bookmarkEnd w:id="2"/>
      <w:r>
        <w:rPr>
          <w:lang w:val="fr-FR"/>
        </w:rPr>
        <w:t xml:space="preserve"> </w:t>
      </w:r>
      <w:r>
        <w:fldChar w:fldCharType="begin">
          <w:ffData>
            <w:name w:val="NSTD_CODE_F"/>
            <w:enabled/>
            <w:calcOnExit w:val="0"/>
            <w:textInput>
              <w:default w:val="XXXXX"/>
            </w:textInput>
          </w:ffData>
        </w:fldChar>
      </w:r>
      <w:bookmarkStart w:id="3" w:name="NSTD_CODE_F"/>
      <w:r>
        <w:rPr>
          <w:lang w:val="fr-FR"/>
        </w:rPr>
        <w:instrText xml:space="preserve"> FORMTEXT </w:instrText>
      </w:r>
      <w:r>
        <w:fldChar w:fldCharType="separate"/>
      </w:r>
      <w:r>
        <w:rPr>
          <w:lang w:val="fr-FR"/>
        </w:rPr>
        <w:t>XXXXX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pPr>
        <w:spacing w:line="240" w:lineRule="auto"/>
        <w:rPr>
          <w:rFonts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4"/>
        <w:framePr w:w="9639" w:h="6976" w:hRule="exact" w:hSpace="0" w:vSpace="0" w:wrap="around" w:hAnchor="page" w:y="6408"/>
        <w:jc w:val="center"/>
        <w:rPr>
          <w:rFonts w:ascii="黑体" w:hAnsi="黑体" w:eastAsia="黑体"/>
          <w:b w:val="0"/>
          <w:bCs w:val="0"/>
          <w:w w:val="100"/>
          <w:lang w:val="fr-FR"/>
        </w:rPr>
      </w:pPr>
    </w:p>
    <w:p>
      <w:pPr>
        <w:pStyle w:val="201"/>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t>智能汽车基础地图要素分类</w:t>
      </w:r>
      <w:r>
        <w:rPr>
          <w:rFonts w:hint="eastAsia"/>
        </w:rPr>
        <w:t>和</w:t>
      </w:r>
      <w:r>
        <w:t>编码</w:t>
      </w:r>
      <w:r>
        <w:fldChar w:fldCharType="end"/>
      </w:r>
      <w:bookmarkEnd w:id="5"/>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eastAsia="黑体"/>
          <w:szCs w:val="28"/>
        </w:rPr>
        <w:t xml:space="preserve">Classification and coding of basic map elements </w:t>
      </w:r>
      <w:r>
        <w:rPr>
          <w:rFonts w:hint="eastAsia" w:eastAsia="黑体"/>
          <w:szCs w:val="28"/>
        </w:rPr>
        <w:t>for</w:t>
      </w:r>
      <w:r>
        <w:rPr>
          <w:rFonts w:eastAsia="黑体"/>
          <w:szCs w:val="28"/>
        </w:rPr>
        <w:t xml:space="preserve"> intelligent vehicle</w:t>
      </w:r>
      <w:r>
        <w:rPr>
          <w:rFonts w:eastAsia="黑体"/>
          <w:szCs w:val="28"/>
        </w:rPr>
        <w:fldChar w:fldCharType="end"/>
      </w:r>
      <w:bookmarkEnd w:id="6"/>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7"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7"/>
    </w:p>
    <w:p>
      <w:pPr>
        <w:pStyle w:val="129"/>
        <w:framePr w:w="9639" w:h="6974" w:hRule="exact" w:wrap="around" w:vAnchor="page" w:hAnchor="page" w:x="1419" w:y="6408" w:anchorLock="1"/>
        <w:spacing w:before="440" w:after="160"/>
        <w:textAlignment w:val="bottom"/>
        <w:rPr>
          <w:sz w:val="24"/>
          <w:szCs w:val="28"/>
        </w:rPr>
      </w:pPr>
      <w:bookmarkStart w:id="8" w:name="下拉1"/>
      <w:r>
        <w:rPr>
          <w:sz w:val="24"/>
          <w:szCs w:val="28"/>
        </w:rPr>
        <w:fldChar w:fldCharType="begin">
          <w:ffData>
            <w:name w:val="下拉1"/>
            <w:enabled/>
            <w:calcOnExit w:val="0"/>
            <w:ddList>
              <w:listEntry w:val="（征求意见稿）"/>
              <w:listEntry w:val="草案版次选择"/>
              <w:listEntry w:val="（工作组讨论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8"/>
    </w:p>
    <w:p>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pPr>
        <w:pStyle w:val="19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8"/>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5"/>
        <w:framePr w:h="584" w:hRule="exact" w:hSpace="181" w:vSpace="181" w:wrap="around" w:y="14800"/>
        <w:rPr>
          <w:rFonts w:hAnsi="黑体"/>
        </w:rPr>
      </w:pPr>
      <w:r>
        <w:rPr>
          <w:rFonts w:hint="eastAsia" w:hAnsi="黑体"/>
          <w:w w:val="100"/>
          <w:sz w:val="28"/>
        </w:rPr>
        <w:t>中华人民共和国自然资源部</w:t>
      </w:r>
      <w:r>
        <w:rPr>
          <w:rFonts w:ascii="Times New Roman"/>
          <w:w w:val="100"/>
          <w:sz w:val="28"/>
          <w:szCs w:val="28"/>
        </w:rPr>
        <w:t>  </w:t>
      </w:r>
      <w:r>
        <w:rPr>
          <w:rStyle w:val="233"/>
          <w:rFonts w:hint="eastAsia" w:hAnsi="黑体"/>
          <w:position w:val="0"/>
        </w:rPr>
        <w:t>发</w:t>
      </w:r>
      <w:r>
        <w:rPr>
          <w:rStyle w:val="233"/>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5"/>
        <w:spacing w:after="360"/>
        <w:rPr>
          <w:spacing w:val="320"/>
        </w:rPr>
      </w:pPr>
      <w:bookmarkStart w:id="17" w:name="BookMark1"/>
    </w:p>
    <w:p>
      <w:pPr>
        <w:pStyle w:val="95"/>
        <w:spacing w:after="360"/>
        <w:rPr>
          <w:spacing w:val="320"/>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p>
      <w:pPr>
        <w:pStyle w:val="95"/>
        <w:spacing w:after="360"/>
      </w:pPr>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"_Toc195168413" </w:instrText>
      </w:r>
      <w:r>
        <w:fldChar w:fldCharType="separate"/>
      </w:r>
      <w:r>
        <w:rPr>
          <w:rStyle w:val="35"/>
        </w:rPr>
        <w:t>前言</w:t>
      </w:r>
      <w:r>
        <w:tab/>
      </w:r>
      <w:r>
        <w:fldChar w:fldCharType="begin"/>
      </w:r>
      <w:r>
        <w:instrText xml:space="preserve"> PAGEREF _Toc195168413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"_Toc195168414" </w:instrText>
      </w:r>
      <w:r>
        <w:fldChar w:fldCharType="separate"/>
      </w:r>
      <w:r>
        <w:rPr>
          <w:rStyle w:val="35"/>
        </w:rPr>
        <w:t>1 范围</w:t>
      </w:r>
      <w:r>
        <w:tab/>
      </w:r>
      <w:r>
        <w:fldChar w:fldCharType="begin"/>
      </w:r>
      <w:r>
        <w:instrText xml:space="preserve"> PAGEREF _Toc195168414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"_Toc195168415" </w:instrText>
      </w:r>
      <w:r>
        <w:fldChar w:fldCharType="separate"/>
      </w:r>
      <w:r>
        <w:rPr>
          <w:rStyle w:val="35"/>
        </w:rPr>
        <w:t>2 规范性引用文件</w:t>
      </w:r>
      <w:r>
        <w:tab/>
      </w:r>
      <w:r>
        <w:fldChar w:fldCharType="begin"/>
      </w:r>
      <w:r>
        <w:instrText xml:space="preserve"> PAGEREF _Toc195168415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"_Toc195168416" </w:instrText>
      </w:r>
      <w:r>
        <w:fldChar w:fldCharType="separate"/>
      </w:r>
      <w:r>
        <w:rPr>
          <w:rStyle w:val="35"/>
        </w:rPr>
        <w:t>3 术语和定义</w:t>
      </w:r>
      <w:r>
        <w:tab/>
      </w:r>
      <w:r>
        <w:fldChar w:fldCharType="begin"/>
      </w:r>
      <w:r>
        <w:instrText xml:space="preserve"> PAGEREF _Toc195168416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"_Toc195168417" </w:instrText>
      </w:r>
      <w:r>
        <w:fldChar w:fldCharType="separate"/>
      </w:r>
      <w:r>
        <w:rPr>
          <w:rStyle w:val="35"/>
        </w:rPr>
        <w:t>4 分类和编码原则</w:t>
      </w:r>
      <w:r>
        <w:tab/>
      </w:r>
      <w:r>
        <w:fldChar w:fldCharType="begin"/>
      </w:r>
      <w:r>
        <w:instrText xml:space="preserve"> PAGEREF _Toc195168417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"_Toc195168423" </w:instrText>
      </w:r>
      <w:r>
        <w:fldChar w:fldCharType="separate"/>
      </w:r>
      <w:r>
        <w:rPr>
          <w:rStyle w:val="35"/>
        </w:rPr>
        <w:t>5 要素分类方法</w:t>
      </w:r>
      <w:r>
        <w:tab/>
      </w:r>
      <w:r>
        <w:fldChar w:fldCharType="begin"/>
      </w:r>
      <w:r>
        <w:instrText xml:space="preserve"> PAGEREF _Toc195168423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"_Toc195168424" </w:instrText>
      </w:r>
      <w:r>
        <w:fldChar w:fldCharType="separate"/>
      </w:r>
      <w:r>
        <w:rPr>
          <w:rStyle w:val="35"/>
        </w:rPr>
        <w:t>6 要素编码方法</w:t>
      </w:r>
      <w:r>
        <w:tab/>
      </w:r>
      <w:r>
        <w:fldChar w:fldCharType="begin"/>
      </w:r>
      <w:r>
        <w:instrText xml:space="preserve"> PAGEREF _Toc195168424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"_Toc195168425" </w:instrText>
      </w:r>
      <w:r>
        <w:fldChar w:fldCharType="separate"/>
      </w:r>
      <w:r>
        <w:rPr>
          <w:rStyle w:val="35"/>
          <w14:scene3d>
            <w14:lightRig w14:rig="threePt" w14:dir="t">
              <w14:rot w14:lat="0" w14:lon="0" w14:rev="0"/>
            </w14:lightRig>
          </w14:scene3d>
        </w:rPr>
        <w:t>6.1</w:t>
      </w:r>
      <w:r>
        <w:rPr>
          <w:rStyle w:val="35"/>
        </w:rPr>
        <w:t xml:space="preserve"> 编码结构</w:t>
      </w:r>
      <w:r>
        <w:tab/>
      </w:r>
      <w:r>
        <w:fldChar w:fldCharType="begin"/>
      </w:r>
      <w:r>
        <w:instrText xml:space="preserve"> PAGEREF _Toc195168425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"_Toc195168426" </w:instrText>
      </w:r>
      <w:r>
        <w:fldChar w:fldCharType="separate"/>
      </w:r>
      <w:r>
        <w:rPr>
          <w:rStyle w:val="35"/>
          <w14:scene3d>
            <w14:lightRig w14:rig="threePt" w14:dir="t">
              <w14:rot w14:lat="0" w14:lon="0" w14:rev="0"/>
            </w14:lightRig>
          </w14:scene3d>
        </w:rPr>
        <w:t>6.2</w:t>
      </w:r>
      <w:r>
        <w:rPr>
          <w:rStyle w:val="35"/>
        </w:rPr>
        <w:t xml:space="preserve"> 编码内容</w:t>
      </w:r>
      <w:r>
        <w:tab/>
      </w:r>
      <w:r>
        <w:fldChar w:fldCharType="begin"/>
      </w:r>
      <w:r>
        <w:instrText xml:space="preserve"> PAGEREF _Toc195168426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"_Toc195168427" </w:instrText>
      </w:r>
      <w:r>
        <w:fldChar w:fldCharType="separate"/>
      </w:r>
      <w:r>
        <w:rPr>
          <w:rStyle w:val="35"/>
        </w:rPr>
        <w:t>7 分类和编码扩充规则</w:t>
      </w:r>
      <w:r>
        <w:tab/>
      </w:r>
      <w:r>
        <w:fldChar w:fldCharType="begin"/>
      </w:r>
      <w:r>
        <w:instrText xml:space="preserve"> PAGEREF _Toc195168427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"_Toc195168428" </w:instrText>
      </w:r>
      <w:r>
        <w:fldChar w:fldCharType="separate"/>
      </w:r>
      <w:r>
        <w:rPr>
          <w:rStyle w:val="35"/>
        </w:rPr>
        <w:t>附录A （规范性） 智能汽车基础地图大类及中类的分类和编码</w:t>
      </w:r>
      <w:r>
        <w:tab/>
      </w:r>
      <w:r>
        <w:fldChar w:fldCharType="begin"/>
      </w:r>
      <w:r>
        <w:instrText xml:space="preserve"> PAGEREF _Toc195168428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"_Toc195168429" </w:instrText>
      </w:r>
      <w:r>
        <w:fldChar w:fldCharType="separate"/>
      </w:r>
      <w:r>
        <w:rPr>
          <w:rStyle w:val="35"/>
        </w:rPr>
        <w:t>附录B （规范性） 智能汽车基础地图要素分类和编码表</w:t>
      </w:r>
      <w:r>
        <w:tab/>
      </w:r>
      <w:r>
        <w:fldChar w:fldCharType="begin"/>
      </w:r>
      <w:r>
        <w:instrText xml:space="preserve"> PAGEREF _Toc195168429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"_Toc195168430" </w:instrText>
      </w:r>
      <w:r>
        <w:fldChar w:fldCharType="separate"/>
      </w:r>
      <w:r>
        <w:rPr>
          <w:rStyle w:val="35"/>
        </w:rPr>
        <w:t>参考文献</w:t>
      </w:r>
      <w:r>
        <w:tab/>
      </w:r>
      <w:r>
        <w:fldChar w:fldCharType="begin"/>
      </w:r>
      <w:r>
        <w:instrText xml:space="preserve"> PAGEREF _Toc195168430 \h </w:instrText>
      </w:r>
      <w:r>
        <w:fldChar w:fldCharType="separate"/>
      </w:r>
      <w:r>
        <w:t>9</w:t>
      </w:r>
      <w:r>
        <w:fldChar w:fldCharType="end"/>
      </w:r>
      <w:r>
        <w:fldChar w:fldCharType="end"/>
      </w:r>
    </w:p>
    <w:p>
      <w:pPr>
        <w:pStyle w:val="95"/>
        <w:spacing w:after="360"/>
        <w:sectPr>
          <w:footerReference r:id="rId15" w:type="default"/>
          <w:footerReference r:id="rId16"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7"/>
    <w:p>
      <w:pPr>
        <w:pStyle w:val="93"/>
        <w:spacing w:before="900" w:after="360"/>
      </w:pPr>
      <w:bookmarkStart w:id="18" w:name="_Toc195168413"/>
      <w:bookmarkStart w:id="19" w:name="BookMark2"/>
      <w:r>
        <w:rPr>
          <w:rFonts w:hint="eastAsia"/>
          <w:spacing w:val="320"/>
        </w:rPr>
        <w:t>前</w:t>
      </w:r>
      <w:r>
        <w:t>言</w:t>
      </w:r>
      <w:bookmarkEnd w:id="18"/>
    </w:p>
    <w:p>
      <w:pPr>
        <w:pStyle w:val="60"/>
        <w:ind w:firstLine="420"/>
      </w:pPr>
      <w:r>
        <w:rPr>
          <w:rFonts w:hint="eastAsia"/>
        </w:rPr>
        <w:t>本文件按照GB/T 1.1—2020《标准化工作导则  第1部分：标准化文件的结构和起草规则》的规定起草。</w:t>
      </w:r>
    </w:p>
    <w:p>
      <w:pPr>
        <w:pStyle w:val="60"/>
        <w:ind w:firstLine="420"/>
      </w:pPr>
      <w:r>
        <w:rPr>
          <w:rFonts w:hint="eastAsia"/>
        </w:rPr>
        <w:t>请注意本文件的某些内容可能涉及专利。本文件的发布机构不承担识别专利的责任。</w:t>
      </w:r>
    </w:p>
    <w:p>
      <w:pPr>
        <w:pStyle w:val="60"/>
        <w:ind w:firstLine="420"/>
      </w:pPr>
    </w:p>
    <w:p>
      <w:pPr>
        <w:pStyle w:val="60"/>
        <w:ind w:firstLine="420"/>
      </w:pPr>
    </w:p>
    <w:p>
      <w:pPr>
        <w:pStyle w:val="60"/>
        <w:ind w:firstLine="420"/>
      </w:pPr>
      <w:r>
        <w:rPr>
          <w:rFonts w:hint="eastAsia"/>
        </w:rPr>
        <w:t>本文件由中华人民共和国自然资源部提出。</w:t>
      </w:r>
    </w:p>
    <w:p>
      <w:pPr>
        <w:pStyle w:val="60"/>
        <w:ind w:firstLine="420"/>
      </w:pPr>
      <w:r>
        <w:rPr>
          <w:rFonts w:hint="eastAsia"/>
        </w:rPr>
        <w:t>本文件由全国地理信息标准化技术委员会测绘分技术委员会（SAC/TC230/SC2）归口。</w:t>
      </w:r>
    </w:p>
    <w:p>
      <w:pPr>
        <w:pStyle w:val="60"/>
        <w:ind w:firstLine="420"/>
        <w:rPr>
          <w:rFonts w:hint="eastAsia" w:eastAsia="宋体"/>
          <w:lang w:val="en-US" w:eastAsia="zh-CN"/>
        </w:rPr>
      </w:pPr>
      <w:r>
        <w:rPr>
          <w:rFonts w:hint="eastAsia"/>
        </w:rPr>
        <w:t>本文件起草单位：</w:t>
      </w:r>
      <w:r>
        <w:rPr>
          <w:rFonts w:hint="eastAsia"/>
          <w:lang w:val="en-US" w:eastAsia="zh-CN"/>
        </w:rPr>
        <w:t>暂略。</w:t>
      </w:r>
    </w:p>
    <w:p>
      <w:pPr>
        <w:pStyle w:val="60"/>
        <w:ind w:firstLine="420"/>
      </w:pPr>
      <w:r>
        <w:rPr>
          <w:rFonts w:hint="eastAsia"/>
        </w:rPr>
        <w:t>本文件主要起草人：</w:t>
      </w:r>
      <w:r>
        <w:rPr>
          <w:rFonts w:hint="eastAsia"/>
          <w:lang w:val="en-US" w:eastAsia="zh-CN"/>
        </w:rPr>
        <w:t>暂略。</w:t>
      </w:r>
    </w:p>
    <w:p>
      <w:pPr>
        <w:pStyle w:val="60"/>
        <w:ind w:firstLine="420"/>
      </w:pPr>
    </w:p>
    <w:p>
      <w:pPr>
        <w:pStyle w:val="60"/>
        <w:spacing w:line="20" w:lineRule="exact"/>
        <w:ind w:firstLine="420"/>
        <w:jc w:val="center"/>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E1AB337F728744FA9C5D21BB9B5C6792"/>
        </w:placeholder>
      </w:sdtPr>
      <w:sdtContent>
        <w:p>
          <w:pPr>
            <w:pStyle w:val="181"/>
            <w:spacing w:before="240" w:beforeLines="100" w:after="528" w:afterLines="220"/>
          </w:pPr>
          <w:bookmarkStart w:id="21" w:name="NEW_STAND_NAME"/>
          <w:r>
            <w:rPr>
              <w:rFonts w:hint="eastAsia"/>
            </w:rPr>
            <w:t>智能汽车基础地图要素分类和编码</w:t>
          </w:r>
        </w:p>
      </w:sdtContent>
    </w:sdt>
    <w:bookmarkEnd w:id="21"/>
    <w:p>
      <w:pPr>
        <w:pStyle w:val="108"/>
        <w:spacing w:before="240" w:after="240"/>
      </w:pPr>
      <w:bookmarkStart w:id="22" w:name="_Toc24884211"/>
      <w:bookmarkStart w:id="23" w:name="_Toc195168414"/>
      <w:bookmarkStart w:id="24" w:name="_Toc97195091"/>
      <w:bookmarkStart w:id="25" w:name="_Toc26718930"/>
      <w:bookmarkStart w:id="26" w:name="_Toc26986530"/>
      <w:bookmarkStart w:id="27" w:name="_Toc24884218"/>
      <w:bookmarkStart w:id="28" w:name="_Toc17233333"/>
      <w:bookmarkStart w:id="29" w:name="_Toc17233325"/>
      <w:bookmarkStart w:id="30" w:name="_Toc26986771"/>
      <w:bookmarkStart w:id="31" w:name="_Toc26648465"/>
      <w:bookmarkStart w:id="32" w:name="_Toc11148"/>
      <w:r>
        <w:rPr>
          <w:rFonts w:hint="eastAsia"/>
        </w:rPr>
        <w:t>范围</w:t>
      </w:r>
      <w:bookmarkEnd w:id="22"/>
      <w:bookmarkEnd w:id="23"/>
      <w:bookmarkEnd w:id="24"/>
      <w:bookmarkEnd w:id="25"/>
      <w:bookmarkEnd w:id="26"/>
      <w:bookmarkEnd w:id="27"/>
      <w:bookmarkEnd w:id="28"/>
      <w:bookmarkEnd w:id="29"/>
      <w:bookmarkEnd w:id="30"/>
      <w:bookmarkEnd w:id="31"/>
      <w:bookmarkEnd w:id="32"/>
    </w:p>
    <w:p>
      <w:pPr>
        <w:pStyle w:val="60"/>
        <w:ind w:firstLine="420"/>
      </w:pPr>
      <w:bookmarkStart w:id="33" w:name="_Toc26648466"/>
      <w:bookmarkStart w:id="34" w:name="_Toc17233326"/>
      <w:bookmarkStart w:id="35" w:name="_Toc24884212"/>
      <w:bookmarkStart w:id="36" w:name="_Toc24884219"/>
      <w:bookmarkStart w:id="37" w:name="_Toc17233334"/>
      <w:r>
        <w:rPr>
          <w:rFonts w:hint="eastAsia"/>
        </w:rPr>
        <w:t>本文件确立了智能汽车基础地图要素的分类和编码原则，给出了要素的分类和编码方法、扩充规则及</w:t>
      </w:r>
      <w:r>
        <w:rPr>
          <w:rFonts w:hint="eastAsia" w:hAnsi="黑体"/>
          <w:kern w:val="21"/>
        </w:rPr>
        <w:t>编码表</w:t>
      </w:r>
      <w:r>
        <w:rPr>
          <w:rFonts w:hint="eastAsia"/>
        </w:rPr>
        <w:t>。</w:t>
      </w:r>
    </w:p>
    <w:p>
      <w:pPr>
        <w:pStyle w:val="60"/>
        <w:ind w:firstLine="420"/>
      </w:pPr>
      <w:r>
        <w:rPr>
          <w:rFonts w:hint="eastAsia"/>
        </w:rPr>
        <w:t>本文件适用于智能汽车基础地图要素的管理和交互。</w:t>
      </w:r>
    </w:p>
    <w:p>
      <w:pPr>
        <w:pStyle w:val="108"/>
        <w:spacing w:before="240" w:after="240"/>
      </w:pPr>
      <w:bookmarkStart w:id="38" w:name="_Toc26986772"/>
      <w:bookmarkStart w:id="39" w:name="_Toc26718931"/>
      <w:bookmarkStart w:id="40" w:name="_Toc26986531"/>
      <w:bookmarkStart w:id="41" w:name="_Toc97195092"/>
      <w:bookmarkStart w:id="42" w:name="_Toc195168415"/>
      <w:bookmarkStart w:id="43" w:name="_Toc18772"/>
      <w:r>
        <w:rPr>
          <w:rFonts w:hint="eastAsia"/>
        </w:rPr>
        <w:t>规范性引用文件</w:t>
      </w:r>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11470E25B32444788813503EAA44793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rPr>
            <w:t>本文件没有规范性引用文件。</w:t>
          </w:r>
        </w:p>
      </w:sdtContent>
    </w:sdt>
    <w:p>
      <w:pPr>
        <w:pStyle w:val="108"/>
        <w:spacing w:before="240" w:after="240"/>
      </w:pPr>
      <w:bookmarkStart w:id="44" w:name="_Toc195168416"/>
      <w:bookmarkStart w:id="45" w:name="_Toc30800"/>
      <w:bookmarkStart w:id="46" w:name="_Toc97195093"/>
      <w:r>
        <w:rPr>
          <w:rFonts w:hint="eastAsia"/>
          <w:szCs w:val="21"/>
        </w:rPr>
        <w:t>术语和定义</w:t>
      </w:r>
      <w:bookmarkEnd w:id="44"/>
      <w:bookmarkEnd w:id="45"/>
      <w:bookmarkEnd w:id="46"/>
    </w:p>
    <w:p>
      <w:pPr>
        <w:pStyle w:val="60"/>
        <w:ind w:firstLine="420"/>
      </w:pPr>
      <w:bookmarkStart w:id="47" w:name="_Toc26986532"/>
      <w:bookmarkEnd w:id="47"/>
      <w:r>
        <w:t>CH/T 4026</w:t>
      </w:r>
      <w:sdt>
        <w:sdtPr>
          <w:id w:val="-1909835108"/>
          <w:placeholder>
            <w:docPart w:val="1F979ADD4F7E4C729A8A84CA5F9E60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ascii="宋体" w:hAnsi="Times New Roman" w:eastAsia="宋体" w:cs="Times New Roman"/>
              <w:sz w:val="21"/>
              <w:lang w:val="en-US" w:eastAsia="zh-CN" w:bidi="ar-SA"/>
            </w:rPr>
            <w:t>界定的以及下列术语和定义适用于本文件。</w:t>
          </w:r>
        </w:sdtContent>
      </w:sdt>
    </w:p>
    <w:p>
      <w:pPr>
        <w:pStyle w:val="227"/>
        <w:ind w:left="420" w:hanging="420" w:hangingChars="200"/>
        <w:rPr>
          <w:rFonts w:ascii="黑体" w:hAnsi="黑体" w:eastAsia="黑体"/>
        </w:rPr>
      </w:pPr>
    </w:p>
    <w:p>
      <w:pPr>
        <w:pStyle w:val="227"/>
        <w:numPr>
          <w:ilvl w:val="0"/>
          <w:numId w:val="0"/>
        </w:numPr>
        <w:ind w:left="420"/>
        <w:rPr>
          <w:rFonts w:ascii="黑体" w:hAnsi="黑体" w:eastAsia="黑体"/>
        </w:rPr>
      </w:pPr>
      <w:r>
        <w:rPr>
          <w:rFonts w:hint="eastAsia" w:ascii="黑体" w:hAnsi="黑体" w:eastAsia="黑体"/>
        </w:rPr>
        <w:t>智能汽车基础地图  intelligent vehicle basic map</w:t>
      </w:r>
    </w:p>
    <w:p>
      <w:pPr>
        <w:pStyle w:val="60"/>
        <w:ind w:firstLine="420"/>
        <w:rPr>
          <w:rFonts w:hAnsi="宋体" w:cs="宋体"/>
        </w:rPr>
      </w:pPr>
      <w:r>
        <w:rPr>
          <w:rFonts w:hint="eastAsia" w:hAnsi="宋体" w:cs="宋体"/>
        </w:rPr>
        <w:t>可</w:t>
      </w:r>
      <w:r>
        <w:rPr>
          <w:rFonts w:hint="eastAsia"/>
        </w:rPr>
        <w:t>支撑汽车驾驶自动化系统的导航电子地图</w:t>
      </w:r>
      <w:r>
        <w:rPr>
          <w:rFonts w:hint="eastAsia" w:hAnsi="宋体" w:cs="宋体"/>
        </w:rPr>
        <w:t>。</w:t>
      </w:r>
    </w:p>
    <w:p>
      <w:pPr>
        <w:pStyle w:val="227"/>
        <w:ind w:left="420" w:hanging="420" w:hangingChars="200"/>
        <w:rPr>
          <w:rFonts w:ascii="黑体" w:hAnsi="黑体" w:eastAsia="黑体"/>
        </w:rPr>
      </w:pPr>
    </w:p>
    <w:p>
      <w:pPr>
        <w:pStyle w:val="227"/>
        <w:numPr>
          <w:ilvl w:val="0"/>
          <w:numId w:val="0"/>
        </w:numPr>
        <w:ind w:left="420"/>
        <w:rPr>
          <w:rFonts w:ascii="黑体" w:hAnsi="黑体" w:eastAsia="黑体"/>
        </w:rPr>
      </w:pPr>
      <w:r>
        <w:rPr>
          <w:rFonts w:hint="eastAsia" w:ascii="黑体" w:hAnsi="黑体" w:eastAsia="黑体"/>
        </w:rPr>
        <w:t>要素  feature</w:t>
      </w:r>
    </w:p>
    <w:p>
      <w:pPr>
        <w:pStyle w:val="60"/>
        <w:ind w:firstLine="420"/>
      </w:pPr>
      <w:r>
        <w:rPr>
          <w:rFonts w:hint="eastAsia"/>
        </w:rPr>
        <w:t>现实世界现象的抽象。</w:t>
      </w:r>
    </w:p>
    <w:p>
      <w:pPr>
        <w:pStyle w:val="183"/>
      </w:pPr>
      <w:r>
        <w:rPr>
          <w:rFonts w:hint="eastAsia"/>
        </w:rPr>
        <w:t>要素可以类型或实例的形式出现。当仅表达一种含义时，应使用要素类型或要素实例。</w:t>
      </w:r>
    </w:p>
    <w:p>
      <w:pPr>
        <w:pStyle w:val="60"/>
        <w:ind w:firstLine="420"/>
      </w:pPr>
      <w:r>
        <w:rPr>
          <w:rFonts w:hint="eastAsia"/>
        </w:rPr>
        <w:t>[来源：GB/T 33188.1-2016，3.4.9]</w:t>
      </w:r>
    </w:p>
    <w:p>
      <w:pPr>
        <w:pStyle w:val="227"/>
        <w:ind w:left="420" w:hanging="420" w:hangingChars="200"/>
      </w:pPr>
    </w:p>
    <w:p>
      <w:pPr>
        <w:pStyle w:val="227"/>
        <w:numPr>
          <w:ilvl w:val="0"/>
          <w:numId w:val="0"/>
        </w:numPr>
        <w:ind w:left="420"/>
      </w:pPr>
      <w:r>
        <w:rPr>
          <w:rFonts w:hint="eastAsia" w:ascii="黑体" w:hAnsi="黑体" w:eastAsia="黑体"/>
        </w:rPr>
        <w:t>要素类型  feature types</w:t>
      </w:r>
    </w:p>
    <w:p>
      <w:pPr>
        <w:pStyle w:val="60"/>
        <w:ind w:firstLine="420"/>
      </w:pPr>
      <w:r>
        <w:rPr>
          <w:rFonts w:hint="eastAsia"/>
        </w:rPr>
        <w:t>具有同类特征的现实世界地理对象的类型，即具有同类属性和相同几何特征的要素实例的集合。一个确定的要素类型是所有组成该要素类型实例的元类，简称“要素类”。</w:t>
      </w:r>
    </w:p>
    <w:p>
      <w:pPr>
        <w:pStyle w:val="60"/>
        <w:ind w:firstLine="420"/>
      </w:pPr>
      <w:r>
        <w:rPr>
          <w:rFonts w:hint="eastAsia"/>
        </w:rPr>
        <w:t>[来源：GB/T 25529-2010，3.5]</w:t>
      </w:r>
    </w:p>
    <w:p>
      <w:pPr>
        <w:pStyle w:val="108"/>
        <w:spacing w:before="240" w:after="240"/>
      </w:pPr>
      <w:bookmarkStart w:id="48" w:name="_Toc28460"/>
      <w:bookmarkEnd w:id="48"/>
      <w:bookmarkStart w:id="49" w:name="_Toc195168417"/>
      <w:bookmarkStart w:id="50" w:name="_Toc6099"/>
      <w:r>
        <w:rPr>
          <w:rFonts w:hint="eastAsia"/>
        </w:rPr>
        <w:t>分类和编码原则</w:t>
      </w:r>
      <w:bookmarkEnd w:id="49"/>
      <w:bookmarkEnd w:id="50"/>
    </w:p>
    <w:p>
      <w:pPr>
        <w:pStyle w:val="109"/>
        <w:spacing w:before="120" w:after="120"/>
      </w:pPr>
      <w:bookmarkStart w:id="51" w:name="_Toc195168418"/>
      <w:bookmarkStart w:id="52" w:name="_Toc26902"/>
      <w:bookmarkStart w:id="53" w:name="_Toc9107"/>
      <w:bookmarkStart w:id="54" w:name="_Toc19042"/>
      <w:bookmarkStart w:id="55" w:name="_Toc194329575"/>
      <w:bookmarkStart w:id="56" w:name="_Toc88229700"/>
      <w:r>
        <w:rPr>
          <w:rFonts w:hint="eastAsia"/>
        </w:rPr>
        <w:t>科学性</w:t>
      </w:r>
      <w:bookmarkEnd w:id="51"/>
      <w:bookmarkEnd w:id="52"/>
      <w:bookmarkEnd w:id="53"/>
      <w:bookmarkEnd w:id="54"/>
      <w:bookmarkEnd w:id="55"/>
      <w:bookmarkEnd w:id="56"/>
    </w:p>
    <w:p>
      <w:pPr>
        <w:pStyle w:val="60"/>
        <w:ind w:firstLine="420"/>
      </w:pPr>
      <w:r>
        <w:rPr>
          <w:rFonts w:hint="eastAsia"/>
        </w:rPr>
        <w:t>分类和编码应符合现实世界道路及附属设施信息的组织原则，以道路数据满</w:t>
      </w:r>
      <w:r>
        <w:rPr>
          <w:rFonts w:hint="eastAsia"/>
          <w:highlight w:val="none"/>
        </w:rPr>
        <w:t>足车辆驾驶自动化</w:t>
      </w:r>
      <w:r>
        <w:rPr>
          <w:rFonts w:hint="eastAsia"/>
        </w:rPr>
        <w:t>应用和管理为目标，按照道路交通信息的要素特征或属性进行科学分类，形成系统的分类体系。</w:t>
      </w:r>
    </w:p>
    <w:p>
      <w:pPr>
        <w:pStyle w:val="109"/>
        <w:spacing w:before="120" w:after="120"/>
      </w:pPr>
      <w:bookmarkStart w:id="57" w:name="_Toc195168419"/>
      <w:bookmarkStart w:id="58" w:name="_Toc29385"/>
      <w:bookmarkStart w:id="59" w:name="_Toc88229701"/>
      <w:bookmarkStart w:id="60" w:name="_Toc194329576"/>
      <w:bookmarkStart w:id="61" w:name="_Toc30033"/>
      <w:bookmarkStart w:id="62" w:name="_Toc12909"/>
      <w:r>
        <w:rPr>
          <w:rFonts w:hint="eastAsia"/>
        </w:rPr>
        <w:t>系统性</w:t>
      </w:r>
      <w:bookmarkEnd w:id="57"/>
      <w:bookmarkEnd w:id="58"/>
      <w:bookmarkEnd w:id="59"/>
      <w:bookmarkEnd w:id="60"/>
      <w:bookmarkEnd w:id="61"/>
      <w:bookmarkEnd w:id="62"/>
    </w:p>
    <w:p>
      <w:pPr>
        <w:pStyle w:val="60"/>
        <w:ind w:firstLine="420"/>
      </w:pPr>
      <w:r>
        <w:rPr>
          <w:rFonts w:hint="eastAsia"/>
        </w:rPr>
        <w:t>分类体系结构应正确反映道路交通信息要素纵向、横向的体系结构，分类、分级应合理清晰，同级分类应保持同样的分类视角。</w:t>
      </w:r>
    </w:p>
    <w:p>
      <w:pPr>
        <w:pStyle w:val="109"/>
        <w:spacing w:before="120" w:after="120"/>
      </w:pPr>
      <w:bookmarkStart w:id="63" w:name="_Toc88229702"/>
      <w:bookmarkStart w:id="64" w:name="_Toc29689"/>
      <w:bookmarkStart w:id="65" w:name="_Toc23745"/>
      <w:bookmarkStart w:id="66" w:name="_Toc195168420"/>
      <w:bookmarkStart w:id="67" w:name="_Toc5168"/>
      <w:bookmarkStart w:id="68" w:name="_Toc194329577"/>
      <w:r>
        <w:rPr>
          <w:rFonts w:hint="eastAsia"/>
        </w:rPr>
        <w:t>适用性</w:t>
      </w:r>
      <w:bookmarkEnd w:id="63"/>
      <w:bookmarkEnd w:id="64"/>
      <w:bookmarkEnd w:id="65"/>
      <w:bookmarkEnd w:id="66"/>
      <w:bookmarkEnd w:id="67"/>
      <w:bookmarkEnd w:id="68"/>
    </w:p>
    <w:p>
      <w:pPr>
        <w:pStyle w:val="235"/>
        <w:rPr>
          <w:sz w:val="21"/>
          <w:szCs w:val="21"/>
        </w:rPr>
      </w:pPr>
      <w:r>
        <w:rPr>
          <w:rFonts w:hint="eastAsia"/>
          <w:sz w:val="21"/>
          <w:szCs w:val="21"/>
        </w:rPr>
        <w:t>兼容原有基础地理信息要素、导航电子地图数据以及道路交通标志和标线分类体系，满足车辆驾驶自动化领域的数据融合与共享交换。</w:t>
      </w:r>
    </w:p>
    <w:p>
      <w:pPr>
        <w:pStyle w:val="109"/>
        <w:spacing w:before="120" w:after="120"/>
      </w:pPr>
      <w:bookmarkStart w:id="69" w:name="_Toc30916"/>
      <w:bookmarkStart w:id="70" w:name="_Toc195168421"/>
      <w:bookmarkStart w:id="71" w:name="_Toc25088"/>
      <w:bookmarkStart w:id="72" w:name="_Toc194329578"/>
      <w:r>
        <w:rPr>
          <w:rFonts w:hint="eastAsia"/>
        </w:rPr>
        <w:t>协调性</w:t>
      </w:r>
      <w:bookmarkEnd w:id="69"/>
      <w:bookmarkEnd w:id="70"/>
      <w:bookmarkEnd w:id="71"/>
      <w:bookmarkEnd w:id="72"/>
    </w:p>
    <w:p>
      <w:pPr>
        <w:pStyle w:val="235"/>
        <w:rPr>
          <w:sz w:val="21"/>
          <w:szCs w:val="21"/>
        </w:rPr>
      </w:pPr>
      <w:r>
        <w:rPr>
          <w:rFonts w:hint="eastAsia"/>
          <w:sz w:val="21"/>
          <w:szCs w:val="21"/>
        </w:rPr>
        <w:t>同一要素在同一分类体系中应有唯一的编码，且与相应领域国家标准中的分类保持协调。</w:t>
      </w:r>
    </w:p>
    <w:p>
      <w:pPr>
        <w:pStyle w:val="109"/>
        <w:spacing w:before="120" w:after="120"/>
      </w:pPr>
      <w:bookmarkStart w:id="73" w:name="_Toc194329579"/>
      <w:bookmarkStart w:id="74" w:name="_Toc88229704"/>
      <w:bookmarkStart w:id="75" w:name="_Toc28303"/>
      <w:bookmarkStart w:id="76" w:name="_Toc7637"/>
      <w:bookmarkStart w:id="77" w:name="_Toc26340"/>
      <w:bookmarkStart w:id="78" w:name="_Toc195168422"/>
      <w:r>
        <w:rPr>
          <w:rFonts w:hint="eastAsia"/>
        </w:rPr>
        <w:t>可扩展性</w:t>
      </w:r>
      <w:bookmarkEnd w:id="73"/>
      <w:bookmarkEnd w:id="74"/>
      <w:bookmarkEnd w:id="75"/>
      <w:bookmarkEnd w:id="76"/>
      <w:bookmarkEnd w:id="77"/>
      <w:bookmarkEnd w:id="78"/>
    </w:p>
    <w:p>
      <w:pPr>
        <w:pStyle w:val="235"/>
        <w:rPr>
          <w:sz w:val="21"/>
          <w:szCs w:val="21"/>
        </w:rPr>
      </w:pPr>
      <w:r>
        <w:rPr>
          <w:rFonts w:hint="eastAsia"/>
          <w:sz w:val="21"/>
          <w:szCs w:val="21"/>
        </w:rPr>
        <w:t>分类和编码应保证高位统一，低位保持充足的扩充余地。</w:t>
      </w:r>
    </w:p>
    <w:p>
      <w:pPr>
        <w:pStyle w:val="108"/>
        <w:spacing w:before="240" w:after="240"/>
      </w:pPr>
      <w:bookmarkStart w:id="79" w:name="_Toc24917"/>
      <w:bookmarkStart w:id="80" w:name="_Toc88229705"/>
      <w:bookmarkStart w:id="81" w:name="_Toc195168423"/>
      <w:r>
        <w:rPr>
          <w:rFonts w:hint="eastAsia"/>
        </w:rPr>
        <w:t>要素分类</w:t>
      </w:r>
      <w:bookmarkEnd w:id="79"/>
      <w:bookmarkEnd w:id="80"/>
      <w:r>
        <w:rPr>
          <w:rFonts w:hint="eastAsia"/>
        </w:rPr>
        <w:t>方法</w:t>
      </w:r>
      <w:bookmarkEnd w:id="81"/>
    </w:p>
    <w:p>
      <w:pPr>
        <w:pStyle w:val="166"/>
      </w:pPr>
      <w:r>
        <w:rPr>
          <w:rFonts w:hint="eastAsia"/>
        </w:rPr>
        <w:t>要素分类采用线分类法，类型按从属关系依次分为</w:t>
      </w:r>
      <w:r>
        <w:rPr>
          <w:rFonts w:hint="eastAsia"/>
          <w:lang w:val="en-US" w:eastAsia="zh-CN"/>
        </w:rPr>
        <w:t>四</w:t>
      </w:r>
      <w:r>
        <w:rPr>
          <w:rFonts w:hint="eastAsia"/>
        </w:rPr>
        <w:t>级：大类、中类、小类</w:t>
      </w:r>
      <w:r>
        <w:rPr>
          <w:rFonts w:hint="eastAsia"/>
          <w:lang w:eastAsia="zh-CN"/>
        </w:rPr>
        <w:t>、</w:t>
      </w:r>
      <w:r>
        <w:rPr>
          <w:rFonts w:hint="eastAsia"/>
          <w:lang w:val="en-US" w:eastAsia="zh-CN"/>
        </w:rPr>
        <w:t>子类</w:t>
      </w:r>
      <w:r>
        <w:rPr>
          <w:rFonts w:hint="eastAsia"/>
        </w:rPr>
        <w:t>。</w:t>
      </w:r>
    </w:p>
    <w:p>
      <w:pPr>
        <w:pStyle w:val="166"/>
      </w:pPr>
      <w:r>
        <w:rPr>
          <w:rFonts w:hint="eastAsia"/>
        </w:rPr>
        <w:t>大类包括道路静态要素、道路</w:t>
      </w:r>
      <w:r>
        <w:rPr>
          <w:rFonts w:hint="eastAsia"/>
          <w:lang w:val="en-US" w:eastAsia="zh-CN"/>
        </w:rPr>
        <w:t>动态</w:t>
      </w:r>
      <w:r>
        <w:rPr>
          <w:rFonts w:hint="eastAsia"/>
        </w:rPr>
        <w:t>要素、</w:t>
      </w:r>
      <w:r>
        <w:rPr>
          <w:rFonts w:hint="eastAsia"/>
          <w:lang w:val="en-US" w:eastAsia="zh-CN"/>
        </w:rPr>
        <w:t>车辆感知</w:t>
      </w:r>
      <w:r>
        <w:rPr>
          <w:rFonts w:hint="eastAsia"/>
        </w:rPr>
        <w:t>要素3类；中类在上述各大类基础上划分出12类，按附录A规定执行。</w:t>
      </w:r>
    </w:p>
    <w:p>
      <w:pPr>
        <w:pStyle w:val="166"/>
      </w:pPr>
      <w:r>
        <w:rPr>
          <w:rFonts w:hint="eastAsia"/>
        </w:rPr>
        <w:t>小类</w:t>
      </w:r>
      <w:r>
        <w:rPr>
          <w:rFonts w:hint="eastAsia"/>
          <w:lang w:val="en-US" w:eastAsia="zh-CN"/>
        </w:rPr>
        <w:t>及子类</w:t>
      </w:r>
      <w:r>
        <w:rPr>
          <w:rFonts w:hint="eastAsia"/>
        </w:rPr>
        <w:t>根据当前智能汽车基础地图应用的实际情况进行详细划分，按附录B规定执行。</w:t>
      </w:r>
    </w:p>
    <w:p>
      <w:pPr>
        <w:pStyle w:val="108"/>
        <w:spacing w:before="240" w:after="240"/>
      </w:pPr>
      <w:bookmarkStart w:id="82" w:name="_Toc14258"/>
      <w:bookmarkStart w:id="83" w:name="_Toc88229706"/>
      <w:bookmarkStart w:id="84" w:name="_Toc195168424"/>
      <w:r>
        <w:rPr>
          <w:rFonts w:hint="eastAsia"/>
        </w:rPr>
        <w:t>要素编码</w:t>
      </w:r>
      <w:bookmarkEnd w:id="82"/>
      <w:bookmarkEnd w:id="83"/>
      <w:r>
        <w:rPr>
          <w:rFonts w:hint="eastAsia"/>
        </w:rPr>
        <w:t>方法</w:t>
      </w:r>
      <w:bookmarkEnd w:id="84"/>
    </w:p>
    <w:p>
      <w:pPr>
        <w:pStyle w:val="109"/>
        <w:spacing w:before="120" w:after="120"/>
      </w:pPr>
      <w:bookmarkStart w:id="85" w:name="_Toc195168425"/>
      <w:bookmarkStart w:id="86" w:name="_Toc17403"/>
      <w:r>
        <w:rPr>
          <w:rFonts w:hint="eastAsia"/>
        </w:rPr>
        <w:t>编码结构</w:t>
      </w:r>
      <w:bookmarkEnd w:id="85"/>
      <w:bookmarkEnd w:id="86"/>
    </w:p>
    <w:p>
      <w:pPr>
        <w:pStyle w:val="60"/>
        <w:ind w:firstLine="420"/>
      </w:pPr>
      <w:r>
        <w:rPr>
          <w:rFonts w:hint="eastAsia"/>
        </w:rPr>
        <w:t>分类编码采用</w:t>
      </w:r>
      <w:r>
        <w:rPr>
          <w:rFonts w:hint="eastAsia"/>
          <w:lang w:val="en-US" w:eastAsia="zh-CN"/>
        </w:rPr>
        <w:t>6</w:t>
      </w:r>
      <w:r>
        <w:rPr>
          <w:rFonts w:hint="eastAsia"/>
        </w:rPr>
        <w:t>位十进制数字码，分别为按数字顺序排列的大类码、中类码</w:t>
      </w:r>
      <w:r>
        <w:rPr>
          <w:rFonts w:hint="eastAsia"/>
          <w:lang w:val="en-US" w:eastAsia="zh-CN"/>
        </w:rPr>
        <w:t>、</w:t>
      </w:r>
      <w:r>
        <w:rPr>
          <w:rFonts w:hint="eastAsia"/>
        </w:rPr>
        <w:t>小类码</w:t>
      </w:r>
      <w:r>
        <w:rPr>
          <w:rFonts w:hint="eastAsia"/>
          <w:lang w:val="en-US" w:eastAsia="zh-CN"/>
        </w:rPr>
        <w:t>和子类</w:t>
      </w:r>
      <w:r>
        <w:rPr>
          <w:rFonts w:hint="eastAsia"/>
        </w:rPr>
        <w:t>码，具体编码结构如下：</w:t>
      </w:r>
    </w:p>
    <w:p>
      <w:pPr>
        <w:jc w:val="center"/>
      </w:pPr>
      <w:r>
        <w:rPr>
          <w:rFonts w:hint="eastAsia"/>
        </w:rPr>
        <w:t xml:space="preserve">X  </w:t>
      </w:r>
      <w:r>
        <w:rPr>
          <w:rFonts w:hint="eastAsia"/>
          <w:lang w:val="en-US" w:eastAsia="zh-CN"/>
        </w:rPr>
        <w:t xml:space="preserve">  </w:t>
      </w:r>
      <w:r>
        <w:rPr>
          <w:rFonts w:hint="eastAsia"/>
        </w:rPr>
        <w:t xml:space="preserve">    X   </w:t>
      </w:r>
      <w:r>
        <w:rPr>
          <w:rFonts w:hint="eastAsia"/>
          <w:lang w:val="en-US" w:eastAsia="zh-CN"/>
        </w:rPr>
        <w:t xml:space="preserve">  </w:t>
      </w:r>
      <w:r>
        <w:rPr>
          <w:rFonts w:hint="eastAsia"/>
        </w:rPr>
        <w:t xml:space="preserve">   </w:t>
      </w:r>
      <w:r>
        <w:rPr>
          <w:rFonts w:hint="eastAsia"/>
          <w:color w:val="auto"/>
        </w:rPr>
        <w:t>XX</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color w:val="auto"/>
        </w:rPr>
        <w:t>XX</w:t>
      </w:r>
    </w:p>
    <w:p>
      <w:pPr>
        <w:jc w:val="center"/>
      </w:pPr>
      <w:r>
        <mc:AlternateContent>
          <mc:Choice Requires="wps">
            <w:drawing>
              <wp:anchor distT="0" distB="0" distL="114300" distR="114300" simplePos="0" relativeHeight="251664384" behindDoc="0" locked="0" layoutInCell="1" allowOverlap="1">
                <wp:simplePos x="0" y="0"/>
                <wp:positionH relativeFrom="column">
                  <wp:posOffset>3912235</wp:posOffset>
                </wp:positionH>
                <wp:positionV relativeFrom="paragraph">
                  <wp:posOffset>123190</wp:posOffset>
                </wp:positionV>
                <wp:extent cx="0" cy="312420"/>
                <wp:effectExtent l="4445" t="0" r="10795" b="7620"/>
                <wp:wrapNone/>
                <wp:docPr id="34" name="直接连接符 34"/>
                <wp:cNvGraphicFramePr/>
                <a:graphic xmlns:a="http://schemas.openxmlformats.org/drawingml/2006/main">
                  <a:graphicData uri="http://schemas.microsoft.com/office/word/2010/wordprocessingShape">
                    <wps:wsp>
                      <wps:cNvCnPr/>
                      <wps:spPr>
                        <a:xfrm>
                          <a:off x="0" y="0"/>
                          <a:ext cx="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08.05pt;margin-top:9.7pt;height:24.6pt;width:0pt;z-index:251664384;mso-width-relative:page;mso-height-relative:page;" filled="f" stroked="t" coordsize="21600,21600" o:gfxdata="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2sn+htUAAAAJAQAA&#10;DwAAAAAAAAABACAAAAAiAAAAZHJzL2Rvd25yZXYueG1sUEsBAhQAFAAAAAgAh07iQFz4KPvjAQAA&#10;sgMAAA4AAAAAAAAAAQAgAAAAJAEAAGRycy9lMm9Eb2MueG1sUEsFBgAAAAAGAAYAWQEAAHkFAAAA&#10;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3246755</wp:posOffset>
                </wp:positionH>
                <wp:positionV relativeFrom="paragraph">
                  <wp:posOffset>123190</wp:posOffset>
                </wp:positionV>
                <wp:extent cx="0" cy="312420"/>
                <wp:effectExtent l="4445" t="0" r="10795" b="7620"/>
                <wp:wrapNone/>
                <wp:docPr id="33" name="直接连接符 33"/>
                <wp:cNvGraphicFramePr/>
                <a:graphic xmlns:a="http://schemas.openxmlformats.org/drawingml/2006/main">
                  <a:graphicData uri="http://schemas.microsoft.com/office/word/2010/wordprocessingShape">
                    <wps:wsp>
                      <wps:cNvCnPr/>
                      <wps:spPr>
                        <a:xfrm>
                          <a:off x="0" y="0"/>
                          <a:ext cx="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55.65pt;margin-top:9.7pt;height:24.6pt;width:0pt;z-index:251663360;mso-width-relative:page;mso-height-relative:page;" filled="f" stroked="t" coordsize="21600,21600" o:gfxdata="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6RlSjWAAAACQEA&#10;AA8AAAAAAAAAAQAgAAAAIgAAAGRycy9kb3ducmV2LnhtbFBLAQIUABQAAAAIAIdO4kC5Ayz94wEA&#10;ALIDAAAOAAAAAAAAAAEAIAAAACUBAABkcnMvZTJvRG9jLnhtbFBLBQYAAAAABgAGAFkBAAB6BQAA&#10;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2609850</wp:posOffset>
                </wp:positionH>
                <wp:positionV relativeFrom="paragraph">
                  <wp:posOffset>113665</wp:posOffset>
                </wp:positionV>
                <wp:extent cx="0" cy="312420"/>
                <wp:effectExtent l="4445" t="0" r="10795" b="7620"/>
                <wp:wrapNone/>
                <wp:docPr id="3" name="直接连接符 3"/>
                <wp:cNvGraphicFramePr/>
                <a:graphic xmlns:a="http://schemas.openxmlformats.org/drawingml/2006/main">
                  <a:graphicData uri="http://schemas.microsoft.com/office/word/2010/wordprocessingShape">
                    <wps:wsp>
                      <wps:cNvCnPr/>
                      <wps:spPr>
                        <a:xfrm>
                          <a:off x="0" y="0"/>
                          <a:ext cx="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5.5pt;margin-top:8.95pt;height:24.6pt;width:0pt;z-index:251665408;mso-width-relative:page;mso-height-relative:page;" filled="f" stroked="t" coordsize="21600,21600" o:gfxdata="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uCSUz1QAAAAkBAAAP&#10;AAAAAAAAAAEAIAAAACIAAABkcnMvZG93bnJldi54bWxQSwECFAAUAAAACACHTuJAZJnx9OIBAACw&#10;AwAADgAAAAAAAAABACAAAAAkAQAAZHJzL2Uyb0RvYy54bWxQSwUGAAAAAAYABgBZAQAAeA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2011045</wp:posOffset>
                </wp:positionH>
                <wp:positionV relativeFrom="paragraph">
                  <wp:posOffset>111125</wp:posOffset>
                </wp:positionV>
                <wp:extent cx="0" cy="312420"/>
                <wp:effectExtent l="4445" t="0" r="10795" b="7620"/>
                <wp:wrapNone/>
                <wp:docPr id="32" name="直接连接符 32"/>
                <wp:cNvGraphicFramePr/>
                <a:graphic xmlns:a="http://schemas.openxmlformats.org/drawingml/2006/main">
                  <a:graphicData uri="http://schemas.microsoft.com/office/word/2010/wordprocessingShape">
                    <wps:wsp>
                      <wps:cNvCnPr/>
                      <wps:spPr>
                        <a:xfrm>
                          <a:off x="1551305" y="7071995"/>
                          <a:ext cx="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58.35pt;margin-top:8.75pt;height:24.6pt;width:0pt;z-index:251662336;mso-width-relative:page;mso-height-relative:page;" filled="f" stroked="t" coordsize="21600,21600" o:gfxdata="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2GVi/UAAAACQEAAA8AAAAAAAAAAQAgAAAAIgAAAGRycy9kb3ducmV2LnhtbFBLAQIUABQAAAAI&#10;AIdO4kBlHXrE8QEAAL4DAAAOAAAAAAAAAAEAIAAAACMBAABkcnMvZTJvRG9jLnhtbFBLBQYAAAAA&#10;BgAGAFkBAACGBQAAAAA=&#10;">
                <v:fill on="f" focussize="0,0"/>
                <v:stroke weight="0.5pt" color="#000000 [3200]" miterlimit="8" joinstyle="miter"/>
                <v:imagedata o:title=""/>
                <o:lock v:ext="edit" aspectratio="f"/>
              </v:line>
            </w:pict>
          </mc:Fallback>
        </mc:AlternateContent>
      </w:r>
    </w:p>
    <w:p>
      <w:pPr>
        <w:jc w:val="center"/>
      </w:pPr>
    </w:p>
    <w:p>
      <w:pPr>
        <w:jc w:val="center"/>
      </w:pPr>
      <w:r>
        <w:rPr>
          <w:rFonts w:hint="eastAsia"/>
        </w:rPr>
        <w:t xml:space="preserve">大类码    中类码    小类码    </w:t>
      </w:r>
      <w:r>
        <w:rPr>
          <w:rFonts w:hint="eastAsia"/>
          <w:lang w:val="en-US" w:eastAsia="zh-CN"/>
        </w:rPr>
        <w:t>子</w:t>
      </w:r>
      <w:r>
        <w:rPr>
          <w:rFonts w:hint="eastAsia"/>
        </w:rPr>
        <w:t>类码</w:t>
      </w:r>
    </w:p>
    <w:p>
      <w:pPr>
        <w:pStyle w:val="178"/>
      </w:pPr>
      <w:r>
        <w:rPr>
          <w:rFonts w:hint="eastAsia"/>
        </w:rPr>
        <w:t>左起第一位为大类码；</w:t>
      </w:r>
    </w:p>
    <w:p>
      <w:pPr>
        <w:pStyle w:val="178"/>
      </w:pPr>
      <w:r>
        <w:rPr>
          <w:rFonts w:hint="eastAsia"/>
        </w:rPr>
        <w:t>左起第二位为中类码，在大类基础上细分而成；</w:t>
      </w:r>
    </w:p>
    <w:p>
      <w:pPr>
        <w:pStyle w:val="178"/>
      </w:pPr>
      <w:r>
        <w:rPr>
          <w:rFonts w:hint="eastAsia"/>
        </w:rPr>
        <w:t>左起第</w:t>
      </w:r>
      <w:r>
        <w:rPr>
          <w:rFonts w:hint="eastAsia"/>
          <w:lang w:val="en-US" w:eastAsia="zh-CN"/>
        </w:rPr>
        <w:t>三</w:t>
      </w:r>
      <w:r>
        <w:rPr>
          <w:rFonts w:hint="eastAsia"/>
        </w:rPr>
        <w:t>、</w:t>
      </w:r>
      <w:r>
        <w:rPr>
          <w:rFonts w:hint="eastAsia"/>
          <w:lang w:val="en-US" w:eastAsia="zh-CN"/>
        </w:rPr>
        <w:t>四</w:t>
      </w:r>
      <w:r>
        <w:rPr>
          <w:rFonts w:hint="eastAsia"/>
          <w:color w:val="auto"/>
        </w:rPr>
        <w:t>位</w:t>
      </w:r>
      <w:r>
        <w:rPr>
          <w:rFonts w:hint="eastAsia"/>
        </w:rPr>
        <w:t>为小类码，在中类基础上细分而成；</w:t>
      </w:r>
    </w:p>
    <w:p>
      <w:pPr>
        <w:pStyle w:val="178"/>
      </w:pPr>
      <w:r>
        <w:rPr>
          <w:rFonts w:hint="eastAsia"/>
        </w:rPr>
        <w:t>左起第</w:t>
      </w:r>
      <w:r>
        <w:rPr>
          <w:rFonts w:hint="eastAsia"/>
          <w:lang w:val="en-US" w:eastAsia="zh-CN"/>
        </w:rPr>
        <w:t>五</w:t>
      </w:r>
      <w:r>
        <w:rPr>
          <w:rFonts w:hint="eastAsia"/>
        </w:rPr>
        <w:t>、</w:t>
      </w:r>
      <w:r>
        <w:rPr>
          <w:rFonts w:hint="eastAsia"/>
          <w:lang w:val="en-US" w:eastAsia="zh-CN"/>
        </w:rPr>
        <w:t>六</w:t>
      </w:r>
      <w:r>
        <w:rPr>
          <w:rFonts w:hint="eastAsia"/>
          <w:color w:val="auto"/>
        </w:rPr>
        <w:t>位</w:t>
      </w:r>
      <w:r>
        <w:rPr>
          <w:rFonts w:hint="eastAsia"/>
        </w:rPr>
        <w:t>为</w:t>
      </w:r>
      <w:r>
        <w:rPr>
          <w:rFonts w:hint="eastAsia"/>
          <w:lang w:val="en-US" w:eastAsia="zh-CN"/>
        </w:rPr>
        <w:t>子</w:t>
      </w:r>
      <w:r>
        <w:rPr>
          <w:rFonts w:hint="eastAsia"/>
        </w:rPr>
        <w:t>类码，在</w:t>
      </w:r>
      <w:r>
        <w:rPr>
          <w:rFonts w:hint="eastAsia"/>
          <w:lang w:val="en-US" w:eastAsia="zh-CN"/>
        </w:rPr>
        <w:t>小</w:t>
      </w:r>
      <w:r>
        <w:rPr>
          <w:rFonts w:hint="eastAsia"/>
        </w:rPr>
        <w:t>类基础上细分而成</w:t>
      </w:r>
      <w:r>
        <w:rPr>
          <w:rFonts w:hint="eastAsia"/>
          <w:lang w:eastAsia="zh-CN"/>
        </w:rPr>
        <w:t>。</w:t>
      </w:r>
    </w:p>
    <w:p>
      <w:pPr>
        <w:pStyle w:val="109"/>
        <w:spacing w:before="120" w:after="120"/>
      </w:pPr>
      <w:bookmarkStart w:id="87" w:name="_Toc24243"/>
      <w:bookmarkStart w:id="88" w:name="_Toc195168426"/>
      <w:r>
        <w:rPr>
          <w:rFonts w:hint="eastAsia"/>
        </w:rPr>
        <w:t>编码</w:t>
      </w:r>
      <w:bookmarkEnd w:id="87"/>
      <w:r>
        <w:rPr>
          <w:rFonts w:hint="eastAsia"/>
        </w:rPr>
        <w:t>内容</w:t>
      </w:r>
      <w:bookmarkEnd w:id="88"/>
    </w:p>
    <w:p>
      <w:pPr>
        <w:pStyle w:val="60"/>
        <w:ind w:firstLine="420"/>
        <w:rPr>
          <w:rFonts w:ascii="黑体" w:hAnsi="黑体" w:eastAsia="黑体" w:cs="黑体"/>
        </w:rPr>
      </w:pPr>
      <w:r>
        <w:rPr>
          <w:rFonts w:hint="eastAsia"/>
        </w:rPr>
        <w:t>智能汽车基础地图各级分类和编码按附录B规定执行。</w:t>
      </w:r>
    </w:p>
    <w:p>
      <w:pPr>
        <w:pStyle w:val="108"/>
        <w:spacing w:before="240" w:after="240"/>
      </w:pPr>
      <w:bookmarkStart w:id="89" w:name="_Toc88229707"/>
      <w:bookmarkStart w:id="90" w:name="_Toc18120"/>
      <w:bookmarkStart w:id="91" w:name="_Toc195168427"/>
      <w:r>
        <w:rPr>
          <w:rFonts w:hint="eastAsia"/>
        </w:rPr>
        <w:t>分类和编码扩充</w:t>
      </w:r>
      <w:bookmarkEnd w:id="89"/>
      <w:bookmarkEnd w:id="90"/>
      <w:r>
        <w:rPr>
          <w:rFonts w:hint="eastAsia"/>
        </w:rPr>
        <w:t>规则</w:t>
      </w:r>
      <w:bookmarkEnd w:id="91"/>
    </w:p>
    <w:p>
      <w:pPr>
        <w:pStyle w:val="166"/>
      </w:pPr>
      <w:r>
        <w:rPr>
          <w:rFonts w:hint="eastAsia"/>
        </w:rPr>
        <w:t>当附录B提供的要素类型不能满足分类需求时，可按7.2</w:t>
      </w:r>
      <w:bookmarkStart w:id="98" w:name="_GoBack"/>
      <w:bookmarkEnd w:id="98"/>
      <w:r>
        <w:rPr>
          <w:rFonts w:hint="eastAsia"/>
        </w:rPr>
        <w:t>的原则扩充，扩充要素的编码应符合第6章的规定。</w:t>
      </w:r>
    </w:p>
    <w:p>
      <w:pPr>
        <w:pStyle w:val="166"/>
        <w:rPr>
          <w:rFonts w:hint="eastAsia" w:ascii="宋体" w:hAnsi="Times New Roman" w:eastAsia="宋体" w:cs="Times New Roman"/>
          <w:sz w:val="21"/>
          <w:lang w:val="en-US" w:eastAsia="zh-CN" w:bidi="ar-SA"/>
        </w:rPr>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pPr>
      <w:r>
        <w:rPr>
          <w:rFonts w:hint="eastAsia"/>
        </w:rPr>
        <w:t>要素的小类、子类应在同级的分类上进行扩展,扩展的小类和子类应归入相应的中类和小类</w:t>
      </w:r>
      <w:r>
        <w:rPr>
          <w:rFonts w:hint="eastAsia"/>
          <w:lang w:eastAsia="zh-CN"/>
        </w:rPr>
        <w:t>，</w:t>
      </w:r>
      <w:r>
        <w:rPr>
          <w:rFonts w:hint="eastAsia"/>
        </w:rPr>
        <w:t>同时在相关数据中说明。</w:t>
      </w:r>
    </w:p>
    <w:bookmarkEnd w:id="20"/>
    <w:p>
      <w:pPr>
        <w:pStyle w:val="202"/>
        <w:rPr>
          <w:rFonts w:hint="eastAsia"/>
        </w:rPr>
      </w:pPr>
      <w:bookmarkStart w:id="92" w:name="BookMark5"/>
    </w:p>
    <w:p>
      <w:pPr>
        <w:pStyle w:val="203"/>
        <w:rPr>
          <w:rFonts w:hint="eastAsia"/>
        </w:rPr>
      </w:pPr>
    </w:p>
    <w:p>
      <w:pPr>
        <w:pStyle w:val="80"/>
        <w:spacing w:after="120"/>
        <w:rPr>
          <w:rFonts w:hint="eastAsia"/>
        </w:rPr>
      </w:pPr>
      <w:r>
        <w:br w:type="textWrapping"/>
      </w:r>
      <w:bookmarkStart w:id="93" w:name="_Toc195168428"/>
      <w:r>
        <w:rPr>
          <w:rFonts w:hint="eastAsia"/>
        </w:rPr>
        <w:t>（规范性）</w:t>
      </w:r>
      <w:r>
        <w:br w:type="textWrapping"/>
      </w:r>
      <w:r>
        <w:rPr>
          <w:rFonts w:hint="eastAsia"/>
        </w:rPr>
        <w:t>智能汽车基础地图大类及中类的分类和编码</w:t>
      </w:r>
      <w:bookmarkEnd w:id="93"/>
    </w:p>
    <w:p>
      <w:pPr>
        <w:pStyle w:val="60"/>
        <w:ind w:firstLine="420"/>
      </w:pPr>
      <w:r>
        <w:rPr>
          <w:rFonts w:hint="eastAsia"/>
        </w:rPr>
        <w:t>智能汽车基础地图要素大类及中类的分类和编码应符合表A.1规定。</w:t>
      </w:r>
    </w:p>
    <w:p>
      <w:pPr>
        <w:pStyle w:val="81"/>
        <w:spacing w:before="120" w:after="120"/>
      </w:pPr>
      <w:r>
        <w:rPr>
          <w:rFonts w:hint="eastAsia"/>
        </w:rPr>
        <w:t>智能汽车基础地图大类及中类的分类和编码</w:t>
      </w:r>
    </w:p>
    <w:tbl>
      <w:tblPr>
        <w:tblStyle w:val="29"/>
        <w:tblW w:w="551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87"/>
        <w:gridCol w:w="1719"/>
        <w:gridCol w:w="2107"/>
        <w:gridCol w:w="50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0" w:hRule="atLeast"/>
          <w:tblHeader/>
          <w:jc w:val="center"/>
        </w:trPr>
        <w:tc>
          <w:tcPr>
            <w:tcW w:w="719" w:type="pct"/>
            <w:tcBorders>
              <w:top w:val="single" w:color="auto" w:sz="8" w:space="0"/>
              <w:bottom w:val="single" w:color="auto" w:sz="8" w:space="0"/>
            </w:tcBorders>
            <w:shd w:val="clear" w:color="auto" w:fill="auto"/>
          </w:tcPr>
          <w:p>
            <w:pPr>
              <w:pStyle w:val="182"/>
            </w:pPr>
            <w:r>
              <w:rPr>
                <w:rFonts w:hint="eastAsia"/>
              </w:rPr>
              <w:t>大类码</w:t>
            </w:r>
          </w:p>
        </w:tc>
        <w:tc>
          <w:tcPr>
            <w:tcW w:w="831" w:type="pct"/>
            <w:tcBorders>
              <w:top w:val="single" w:color="auto" w:sz="8" w:space="0"/>
              <w:bottom w:val="single" w:color="auto" w:sz="8" w:space="0"/>
            </w:tcBorders>
            <w:shd w:val="clear" w:color="auto" w:fill="auto"/>
          </w:tcPr>
          <w:p>
            <w:pPr>
              <w:pStyle w:val="182"/>
            </w:pPr>
            <w:r>
              <w:rPr>
                <w:rFonts w:hint="eastAsia"/>
              </w:rPr>
              <w:t>大类</w:t>
            </w:r>
          </w:p>
        </w:tc>
        <w:tc>
          <w:tcPr>
            <w:tcW w:w="1019" w:type="pct"/>
            <w:tcBorders>
              <w:top w:val="single" w:color="auto" w:sz="8" w:space="0"/>
              <w:bottom w:val="single" w:color="auto" w:sz="8" w:space="0"/>
            </w:tcBorders>
            <w:shd w:val="clear" w:color="auto" w:fill="auto"/>
          </w:tcPr>
          <w:p>
            <w:pPr>
              <w:pStyle w:val="182"/>
            </w:pPr>
            <w:r>
              <w:rPr>
                <w:rFonts w:hint="eastAsia"/>
              </w:rPr>
              <w:t>中类码</w:t>
            </w:r>
          </w:p>
        </w:tc>
        <w:tc>
          <w:tcPr>
            <w:tcW w:w="2429" w:type="pct"/>
            <w:tcBorders>
              <w:top w:val="single" w:color="auto" w:sz="8" w:space="0"/>
              <w:bottom w:val="single" w:color="auto" w:sz="8" w:space="0"/>
            </w:tcBorders>
            <w:shd w:val="clear" w:color="auto" w:fill="auto"/>
          </w:tcPr>
          <w:p>
            <w:pPr>
              <w:pStyle w:val="182"/>
            </w:pPr>
            <w:r>
              <w:rPr>
                <w:rFonts w:hint="eastAsia"/>
              </w:rPr>
              <w:t>中类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restart"/>
            <w:tcBorders>
              <w:top w:val="single" w:color="auto" w:sz="8" w:space="0"/>
            </w:tcBorders>
            <w:shd w:val="clear" w:color="auto" w:fill="auto"/>
            <w:vAlign w:val="center"/>
          </w:tcPr>
          <w:p>
            <w:pPr>
              <w:pStyle w:val="182"/>
            </w:pPr>
            <w:r>
              <w:rPr>
                <w:rFonts w:hint="eastAsia"/>
              </w:rPr>
              <w:t>1</w:t>
            </w:r>
          </w:p>
        </w:tc>
        <w:tc>
          <w:tcPr>
            <w:tcW w:w="831" w:type="pct"/>
            <w:vMerge w:val="restart"/>
            <w:tcBorders>
              <w:top w:val="single" w:color="auto" w:sz="8" w:space="0"/>
            </w:tcBorders>
            <w:shd w:val="clear" w:color="auto" w:fill="auto"/>
            <w:vAlign w:val="center"/>
          </w:tcPr>
          <w:p>
            <w:pPr>
              <w:pStyle w:val="182"/>
            </w:pPr>
            <w:r>
              <w:rPr>
                <w:rFonts w:hint="eastAsia"/>
              </w:rPr>
              <w:t>道路静态要素</w:t>
            </w:r>
          </w:p>
        </w:tc>
        <w:tc>
          <w:tcPr>
            <w:tcW w:w="1019" w:type="pct"/>
            <w:tcBorders>
              <w:top w:val="single" w:color="auto" w:sz="8" w:space="0"/>
            </w:tcBorders>
            <w:shd w:val="clear" w:color="auto" w:fill="auto"/>
            <w:vAlign w:val="center"/>
          </w:tcPr>
          <w:p>
            <w:pPr>
              <w:pStyle w:val="182"/>
              <w:rPr>
                <w:rFonts w:hint="eastAsia" w:eastAsia="宋体"/>
                <w:lang w:val="en-US" w:eastAsia="zh-CN"/>
              </w:rPr>
            </w:pPr>
            <w:r>
              <w:rPr>
                <w:rFonts w:hint="eastAsia"/>
              </w:rPr>
              <w:t>1</w:t>
            </w:r>
          </w:p>
        </w:tc>
        <w:tc>
          <w:tcPr>
            <w:tcW w:w="2429" w:type="pct"/>
            <w:tcBorders>
              <w:top w:val="single" w:color="auto" w:sz="8" w:space="0"/>
            </w:tcBorders>
            <w:shd w:val="clear" w:color="auto" w:fill="auto"/>
            <w:vAlign w:val="center"/>
          </w:tcPr>
          <w:p>
            <w:pPr>
              <w:pStyle w:val="182"/>
            </w:pPr>
            <w:r>
              <w:rPr>
                <w:rFonts w:hint="eastAsia"/>
              </w:rPr>
              <w:t>道路网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rPr>
                <w:rFonts w:hint="eastAsia" w:eastAsia="宋体"/>
                <w:lang w:val="en-US" w:eastAsia="zh-CN"/>
              </w:rPr>
            </w:pPr>
            <w:r>
              <w:rPr>
                <w:rFonts w:hint="eastAsia"/>
              </w:rPr>
              <w:t>2</w:t>
            </w:r>
          </w:p>
        </w:tc>
        <w:tc>
          <w:tcPr>
            <w:tcW w:w="2429" w:type="pct"/>
            <w:shd w:val="clear" w:color="auto" w:fill="auto"/>
            <w:vAlign w:val="center"/>
          </w:tcPr>
          <w:p>
            <w:pPr>
              <w:pStyle w:val="182"/>
            </w:pPr>
            <w:r>
              <w:rPr>
                <w:rFonts w:hint="eastAsia"/>
              </w:rPr>
              <w:t>车道网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rPr>
                <w:rFonts w:hint="eastAsia" w:eastAsia="宋体"/>
                <w:lang w:val="en-US" w:eastAsia="zh-CN"/>
              </w:rPr>
            </w:pPr>
            <w:r>
              <w:rPr>
                <w:rFonts w:hint="eastAsia"/>
              </w:rPr>
              <w:t>3</w:t>
            </w:r>
          </w:p>
        </w:tc>
        <w:tc>
          <w:tcPr>
            <w:tcW w:w="2429" w:type="pct"/>
            <w:shd w:val="clear" w:color="auto" w:fill="auto"/>
            <w:vAlign w:val="center"/>
          </w:tcPr>
          <w:p>
            <w:pPr>
              <w:pStyle w:val="182"/>
              <w:rPr>
                <w:rFonts w:hint="eastAsia" w:eastAsia="宋体"/>
                <w:lang w:eastAsia="zh-CN"/>
              </w:rPr>
            </w:pPr>
            <w:r>
              <w:rPr>
                <w:rFonts w:hint="eastAsia"/>
              </w:rPr>
              <w:t>道路</w:t>
            </w:r>
            <w:r>
              <w:rPr>
                <w:rFonts w:hint="eastAsia"/>
                <w:lang w:val="en-US" w:eastAsia="zh-CN"/>
              </w:rPr>
              <w:t>设施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ind w:firstLine="0" w:firstLineChars="0"/>
              <w:rPr>
                <w:rFonts w:hint="eastAsia" w:ascii="宋体" w:hAnsi="Times New Roman" w:eastAsia="宋体" w:cs="Times New Roman"/>
                <w:sz w:val="18"/>
                <w:lang w:val="en-US" w:eastAsia="zh-CN" w:bidi="ar-SA"/>
              </w:rPr>
            </w:pPr>
            <w:r>
              <w:rPr>
                <w:rFonts w:hint="eastAsia"/>
                <w:lang w:val="en-US" w:eastAsia="zh-CN"/>
              </w:rPr>
              <w:t>4</w:t>
            </w:r>
          </w:p>
        </w:tc>
        <w:tc>
          <w:tcPr>
            <w:tcW w:w="2429" w:type="pct"/>
            <w:shd w:val="clear" w:color="auto" w:fill="auto"/>
            <w:vAlign w:val="center"/>
          </w:tcPr>
          <w:p>
            <w:pPr>
              <w:pStyle w:val="182"/>
              <w:rPr>
                <w:rFonts w:hint="eastAsia" w:eastAsia="宋体"/>
                <w:lang w:val="en-US" w:eastAsia="zh-CN"/>
              </w:rPr>
            </w:pPr>
            <w:r>
              <w:rPr>
                <w:rFonts w:hint="eastAsia"/>
              </w:rPr>
              <w:t>道路</w:t>
            </w:r>
            <w:r>
              <w:rPr>
                <w:rFonts w:hint="eastAsia"/>
                <w:lang w:val="en-US" w:eastAsia="zh-CN"/>
              </w:rPr>
              <w:t>构造物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ind w:firstLine="0" w:firstLineChars="0"/>
              <w:rPr>
                <w:rFonts w:hint="default" w:ascii="宋体" w:hAnsi="Times New Roman" w:eastAsia="宋体" w:cs="Times New Roman"/>
                <w:sz w:val="18"/>
                <w:lang w:val="en-US" w:eastAsia="zh-CN" w:bidi="ar-SA"/>
              </w:rPr>
            </w:pPr>
            <w:r>
              <w:rPr>
                <w:rFonts w:hint="eastAsia"/>
                <w:lang w:val="en-US" w:eastAsia="zh-CN"/>
              </w:rPr>
              <w:t>5</w:t>
            </w:r>
          </w:p>
        </w:tc>
        <w:tc>
          <w:tcPr>
            <w:tcW w:w="2429" w:type="pct"/>
            <w:shd w:val="clear" w:color="auto" w:fill="auto"/>
            <w:vAlign w:val="center"/>
          </w:tcPr>
          <w:p>
            <w:pPr>
              <w:pStyle w:val="182"/>
              <w:rPr>
                <w:rFonts w:hint="eastAsia" w:eastAsia="宋体"/>
                <w:lang w:eastAsia="zh-CN"/>
              </w:rPr>
            </w:pPr>
            <w:r>
              <w:rPr>
                <w:rFonts w:hint="eastAsia"/>
                <w:lang w:val="en-US" w:eastAsia="zh-CN"/>
              </w:rPr>
              <w:t>兴趣点（</w:t>
            </w:r>
            <w:r>
              <w:rPr>
                <w:rFonts w:hint="eastAsia"/>
              </w:rPr>
              <w:t>POI</w:t>
            </w:r>
            <w:r>
              <w:rPr>
                <w:rFonts w:hint="eastAsia"/>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rPr>
                <w:rFonts w:hint="default" w:eastAsia="宋体"/>
                <w:lang w:val="en-US" w:eastAsia="zh-CN"/>
              </w:rPr>
            </w:pPr>
            <w:r>
              <w:rPr>
                <w:rFonts w:hint="eastAsia"/>
                <w:lang w:val="en-US" w:eastAsia="zh-CN"/>
              </w:rPr>
              <w:t>6</w:t>
            </w:r>
          </w:p>
        </w:tc>
        <w:tc>
          <w:tcPr>
            <w:tcW w:w="2429" w:type="pct"/>
            <w:shd w:val="clear" w:color="auto" w:fill="auto"/>
            <w:vAlign w:val="center"/>
          </w:tcPr>
          <w:p>
            <w:pPr>
              <w:pStyle w:val="182"/>
              <w:rPr>
                <w:rFonts w:hint="default" w:eastAsia="宋体"/>
                <w:lang w:val="en-US" w:eastAsia="zh-CN"/>
              </w:rPr>
            </w:pPr>
            <w:r>
              <w:rPr>
                <w:rFonts w:hint="eastAsia"/>
                <w:lang w:val="en-US" w:eastAsia="zh-CN"/>
              </w:rPr>
              <w:t>背景环境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restart"/>
            <w:shd w:val="clear" w:color="auto" w:fill="auto"/>
            <w:vAlign w:val="center"/>
          </w:tcPr>
          <w:p>
            <w:pPr>
              <w:pStyle w:val="182"/>
            </w:pPr>
            <w:r>
              <w:rPr>
                <w:rFonts w:hint="eastAsia"/>
              </w:rPr>
              <w:t>2</w:t>
            </w:r>
          </w:p>
        </w:tc>
        <w:tc>
          <w:tcPr>
            <w:tcW w:w="831" w:type="pct"/>
            <w:vMerge w:val="restart"/>
            <w:shd w:val="clear" w:color="auto" w:fill="auto"/>
            <w:vAlign w:val="center"/>
          </w:tcPr>
          <w:p>
            <w:pPr>
              <w:pStyle w:val="182"/>
            </w:pPr>
            <w:r>
              <w:rPr>
                <w:rFonts w:hint="eastAsia"/>
              </w:rPr>
              <w:t>道路动态要素</w:t>
            </w:r>
          </w:p>
        </w:tc>
        <w:tc>
          <w:tcPr>
            <w:tcW w:w="1019" w:type="pct"/>
            <w:shd w:val="clear" w:color="auto" w:fill="auto"/>
            <w:vAlign w:val="center"/>
          </w:tcPr>
          <w:p>
            <w:pPr>
              <w:pStyle w:val="182"/>
            </w:pPr>
            <w:r>
              <w:rPr>
                <w:rFonts w:hint="eastAsia"/>
              </w:rPr>
              <w:t>1</w:t>
            </w:r>
          </w:p>
        </w:tc>
        <w:tc>
          <w:tcPr>
            <w:tcW w:w="2429" w:type="pct"/>
            <w:shd w:val="clear" w:color="auto" w:fill="auto"/>
            <w:vAlign w:val="center"/>
          </w:tcPr>
          <w:p>
            <w:pPr>
              <w:pStyle w:val="182"/>
            </w:pPr>
            <w:r>
              <w:rPr>
                <w:rFonts w:hint="eastAsia"/>
              </w:rPr>
              <w:t>交通路况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pct"/>
            <w:vMerge w:val="continue"/>
            <w:shd w:val="clear" w:color="auto" w:fill="auto"/>
            <w:vAlign w:val="center"/>
          </w:tcPr>
          <w:p>
            <w:pPr>
              <w:pStyle w:val="182"/>
            </w:pPr>
          </w:p>
        </w:tc>
        <w:tc>
          <w:tcPr>
            <w:tcW w:w="831" w:type="pct"/>
            <w:vMerge w:val="continue"/>
            <w:shd w:val="clear" w:color="auto" w:fill="auto"/>
            <w:vAlign w:val="center"/>
          </w:tcPr>
          <w:p>
            <w:pPr>
              <w:pStyle w:val="182"/>
            </w:pPr>
          </w:p>
        </w:tc>
        <w:tc>
          <w:tcPr>
            <w:tcW w:w="1019" w:type="pct"/>
            <w:shd w:val="clear" w:color="auto" w:fill="auto"/>
            <w:vAlign w:val="center"/>
          </w:tcPr>
          <w:p>
            <w:pPr>
              <w:pStyle w:val="182"/>
            </w:pPr>
            <w:r>
              <w:rPr>
                <w:rFonts w:hint="eastAsia"/>
              </w:rPr>
              <w:t>2</w:t>
            </w:r>
          </w:p>
        </w:tc>
        <w:tc>
          <w:tcPr>
            <w:tcW w:w="2429" w:type="pct"/>
            <w:shd w:val="clear" w:color="auto" w:fill="auto"/>
            <w:vAlign w:val="center"/>
          </w:tcPr>
          <w:p>
            <w:pPr>
              <w:pStyle w:val="182"/>
            </w:pPr>
            <w:r>
              <w:rPr>
                <w:rFonts w:hint="eastAsia"/>
              </w:rPr>
              <w:t>天气条件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restart"/>
            <w:shd w:val="clear" w:color="auto" w:fill="auto"/>
            <w:vAlign w:val="center"/>
          </w:tcPr>
          <w:p>
            <w:pPr>
              <w:pStyle w:val="182"/>
            </w:pPr>
            <w:r>
              <w:rPr>
                <w:rFonts w:hint="eastAsia"/>
              </w:rPr>
              <w:t>3</w:t>
            </w:r>
          </w:p>
        </w:tc>
        <w:tc>
          <w:tcPr>
            <w:tcW w:w="831" w:type="pct"/>
            <w:vMerge w:val="restart"/>
            <w:shd w:val="clear" w:color="auto" w:fill="auto"/>
            <w:vAlign w:val="center"/>
          </w:tcPr>
          <w:p>
            <w:pPr>
              <w:pStyle w:val="182"/>
            </w:pPr>
            <w:r>
              <w:rPr>
                <w:rFonts w:hint="eastAsia"/>
              </w:rPr>
              <w:t>车辆感知要素</w:t>
            </w:r>
          </w:p>
        </w:tc>
        <w:tc>
          <w:tcPr>
            <w:tcW w:w="1019" w:type="pct"/>
            <w:shd w:val="clear" w:color="auto" w:fill="auto"/>
            <w:vAlign w:val="center"/>
          </w:tcPr>
          <w:p>
            <w:pPr>
              <w:pStyle w:val="182"/>
            </w:pPr>
            <w:r>
              <w:rPr>
                <w:rFonts w:hint="eastAsia"/>
              </w:rPr>
              <w:t>1</w:t>
            </w:r>
          </w:p>
        </w:tc>
        <w:tc>
          <w:tcPr>
            <w:tcW w:w="2429" w:type="pct"/>
            <w:shd w:val="clear" w:color="auto" w:fill="auto"/>
            <w:vAlign w:val="center"/>
          </w:tcPr>
          <w:p>
            <w:pPr>
              <w:pStyle w:val="182"/>
              <w:rPr>
                <w:rFonts w:hint="eastAsia"/>
              </w:rPr>
            </w:pPr>
            <w:r>
              <w:rPr>
                <w:rFonts w:hint="eastAsia"/>
                <w:lang w:val="en-US" w:eastAsia="zh-CN"/>
              </w:rPr>
              <w:t>机动车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continue"/>
            <w:shd w:val="clear" w:color="auto" w:fill="auto"/>
            <w:vAlign w:val="center"/>
          </w:tcPr>
          <w:p>
            <w:pPr>
              <w:pStyle w:val="182"/>
              <w:rPr>
                <w:rFonts w:hint="eastAsia"/>
              </w:rPr>
            </w:pPr>
          </w:p>
        </w:tc>
        <w:tc>
          <w:tcPr>
            <w:tcW w:w="831" w:type="pct"/>
            <w:vMerge w:val="continue"/>
            <w:shd w:val="clear" w:color="auto" w:fill="auto"/>
            <w:vAlign w:val="center"/>
          </w:tcPr>
          <w:p>
            <w:pPr>
              <w:pStyle w:val="182"/>
              <w:rPr>
                <w:rFonts w:hint="eastAsia"/>
              </w:rPr>
            </w:pPr>
          </w:p>
        </w:tc>
        <w:tc>
          <w:tcPr>
            <w:tcW w:w="1019" w:type="pct"/>
            <w:shd w:val="clear" w:color="auto" w:fill="auto"/>
            <w:vAlign w:val="center"/>
          </w:tcPr>
          <w:p>
            <w:pPr>
              <w:pStyle w:val="182"/>
              <w:rPr>
                <w:rFonts w:hint="default" w:eastAsia="宋体"/>
                <w:lang w:val="en-US" w:eastAsia="zh-CN"/>
              </w:rPr>
            </w:pPr>
            <w:r>
              <w:rPr>
                <w:rFonts w:hint="eastAsia"/>
                <w:lang w:val="en-US" w:eastAsia="zh-CN"/>
              </w:rPr>
              <w:t>2</w:t>
            </w:r>
          </w:p>
        </w:tc>
        <w:tc>
          <w:tcPr>
            <w:tcW w:w="2429" w:type="pct"/>
            <w:shd w:val="clear" w:color="auto" w:fill="auto"/>
            <w:vAlign w:val="center"/>
          </w:tcPr>
          <w:p>
            <w:pPr>
              <w:pStyle w:val="182"/>
              <w:rPr>
                <w:rFonts w:hint="eastAsia"/>
              </w:rPr>
            </w:pPr>
            <w:r>
              <w:rPr>
                <w:rFonts w:hint="eastAsia"/>
                <w:lang w:val="en-US" w:eastAsia="zh-CN"/>
              </w:rPr>
              <w:t>非机动车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continue"/>
            <w:shd w:val="clear" w:color="auto" w:fill="auto"/>
            <w:vAlign w:val="center"/>
          </w:tcPr>
          <w:p>
            <w:pPr>
              <w:pStyle w:val="182"/>
              <w:rPr>
                <w:rFonts w:hint="eastAsia"/>
              </w:rPr>
            </w:pPr>
          </w:p>
        </w:tc>
        <w:tc>
          <w:tcPr>
            <w:tcW w:w="831" w:type="pct"/>
            <w:vMerge w:val="continue"/>
            <w:shd w:val="clear" w:color="auto" w:fill="auto"/>
            <w:vAlign w:val="center"/>
          </w:tcPr>
          <w:p>
            <w:pPr>
              <w:pStyle w:val="182"/>
              <w:rPr>
                <w:rFonts w:hint="eastAsia"/>
              </w:rPr>
            </w:pPr>
          </w:p>
        </w:tc>
        <w:tc>
          <w:tcPr>
            <w:tcW w:w="1019" w:type="pct"/>
            <w:shd w:val="clear" w:color="auto" w:fill="auto"/>
            <w:vAlign w:val="center"/>
          </w:tcPr>
          <w:p>
            <w:pPr>
              <w:pStyle w:val="182"/>
              <w:rPr>
                <w:rFonts w:hint="default" w:eastAsia="宋体"/>
                <w:lang w:val="en-US" w:eastAsia="zh-CN"/>
              </w:rPr>
            </w:pPr>
            <w:r>
              <w:rPr>
                <w:rFonts w:hint="eastAsia"/>
                <w:lang w:val="en-US" w:eastAsia="zh-CN"/>
              </w:rPr>
              <w:t>3</w:t>
            </w:r>
          </w:p>
        </w:tc>
        <w:tc>
          <w:tcPr>
            <w:tcW w:w="2429" w:type="pct"/>
            <w:shd w:val="clear" w:color="auto" w:fill="auto"/>
            <w:vAlign w:val="center"/>
          </w:tcPr>
          <w:p>
            <w:pPr>
              <w:pStyle w:val="182"/>
              <w:rPr>
                <w:rFonts w:hint="eastAsia"/>
              </w:rPr>
            </w:pPr>
            <w:r>
              <w:rPr>
                <w:rFonts w:hint="eastAsia"/>
                <w:lang w:val="en-US" w:eastAsia="zh-CN"/>
              </w:rPr>
              <w:t>行人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pct"/>
            <w:vMerge w:val="continue"/>
            <w:shd w:val="clear" w:color="auto" w:fill="auto"/>
            <w:vAlign w:val="center"/>
          </w:tcPr>
          <w:p>
            <w:pPr>
              <w:pStyle w:val="182"/>
              <w:rPr>
                <w:rFonts w:hint="eastAsia"/>
              </w:rPr>
            </w:pPr>
          </w:p>
        </w:tc>
        <w:tc>
          <w:tcPr>
            <w:tcW w:w="831" w:type="pct"/>
            <w:vMerge w:val="continue"/>
            <w:shd w:val="clear" w:color="auto" w:fill="auto"/>
            <w:vAlign w:val="center"/>
          </w:tcPr>
          <w:p>
            <w:pPr>
              <w:pStyle w:val="182"/>
              <w:rPr>
                <w:rFonts w:hint="eastAsia"/>
              </w:rPr>
            </w:pPr>
          </w:p>
        </w:tc>
        <w:tc>
          <w:tcPr>
            <w:tcW w:w="1019" w:type="pct"/>
            <w:shd w:val="clear" w:color="auto" w:fill="auto"/>
            <w:vAlign w:val="center"/>
          </w:tcPr>
          <w:p>
            <w:pPr>
              <w:pStyle w:val="182"/>
              <w:rPr>
                <w:rFonts w:hint="default"/>
                <w:lang w:val="en-US" w:eastAsia="zh-CN"/>
              </w:rPr>
            </w:pPr>
            <w:r>
              <w:rPr>
                <w:rFonts w:hint="eastAsia"/>
                <w:lang w:val="en-US" w:eastAsia="zh-CN"/>
              </w:rPr>
              <w:t>4</w:t>
            </w:r>
          </w:p>
        </w:tc>
        <w:tc>
          <w:tcPr>
            <w:tcW w:w="2429" w:type="pct"/>
            <w:shd w:val="clear" w:color="auto" w:fill="auto"/>
            <w:vAlign w:val="center"/>
          </w:tcPr>
          <w:p>
            <w:pPr>
              <w:pStyle w:val="182"/>
              <w:rPr>
                <w:rFonts w:hint="eastAsia"/>
              </w:rPr>
            </w:pPr>
            <w:r>
              <w:rPr>
                <w:rFonts w:hint="eastAsia"/>
                <w:lang w:val="en-US" w:eastAsia="zh-CN"/>
              </w:rPr>
              <w:t>障碍物</w:t>
            </w:r>
          </w:p>
        </w:tc>
      </w:tr>
    </w:tbl>
    <w:p>
      <w:pPr>
        <w:pStyle w:val="60"/>
        <w:ind w:firstLine="42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linePitch="312" w:charSpace="0"/>
        </w:sectPr>
      </w:pPr>
    </w:p>
    <w:p>
      <w:pPr>
        <w:pStyle w:val="202"/>
      </w:pPr>
    </w:p>
    <w:p>
      <w:pPr>
        <w:pStyle w:val="203"/>
      </w:pPr>
    </w:p>
    <w:p>
      <w:pPr>
        <w:pStyle w:val="80"/>
        <w:spacing w:after="120"/>
        <w:rPr>
          <w:rFonts w:hint="eastAsia"/>
        </w:rPr>
      </w:pPr>
      <w:r>
        <w:br w:type="textWrapping"/>
      </w:r>
      <w:bookmarkStart w:id="94" w:name="_Toc195168429"/>
      <w:r>
        <w:rPr>
          <w:rFonts w:hint="eastAsia"/>
        </w:rPr>
        <w:t>（规范性）</w:t>
      </w:r>
      <w:r>
        <w:br w:type="textWrapping"/>
      </w:r>
      <w:r>
        <w:rPr>
          <w:rFonts w:hint="eastAsia"/>
        </w:rPr>
        <w:t>智能汽车基础地图要素分类和编码表</w:t>
      </w:r>
      <w:bookmarkEnd w:id="94"/>
    </w:p>
    <w:bookmarkEnd w:id="92"/>
    <w:p>
      <w:pPr>
        <w:pStyle w:val="60"/>
        <w:ind w:firstLine="420"/>
        <w:rPr>
          <w:rFonts w:hint="eastAsia"/>
        </w:rPr>
      </w:pPr>
      <w:r>
        <w:rPr>
          <w:rFonts w:hint="eastAsia"/>
        </w:rPr>
        <w:t>智能汽车基础地图要素分类和编码按表B.1规定执行。</w:t>
      </w:r>
    </w:p>
    <w:p>
      <w:pPr>
        <w:pStyle w:val="81"/>
        <w:spacing w:before="120" w:after="120"/>
      </w:pPr>
      <w:r>
        <w:rPr>
          <w:rFonts w:hint="eastAsia" w:hAnsi="黑体"/>
        </w:rPr>
        <w:t>智能汽车基础地图要素分类和编码表</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6"/>
        <w:gridCol w:w="1960"/>
        <w:gridCol w:w="2373"/>
        <w:gridCol w:w="3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bookmarkStart w:id="95" w:name="BookMark6"/>
            <w:r>
              <w:rPr>
                <w:rFonts w:hint="eastAsia" w:ascii="宋体" w:hAnsi="宋体" w:cs="宋体"/>
                <w:b/>
                <w:bCs/>
                <w:i w:val="0"/>
                <w:iCs w:val="0"/>
                <w:color w:val="000000"/>
                <w:kern w:val="0"/>
                <w:sz w:val="22"/>
                <w:szCs w:val="22"/>
                <w:u w:val="none"/>
                <w:lang w:val="en-US" w:eastAsia="zh-CN" w:bidi="ar"/>
              </w:rPr>
              <w:t>编码</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大类名称</w:t>
            </w: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中类名称</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小类及子类名称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道路静态要素</w:t>
            </w:r>
          </w:p>
        </w:tc>
        <w:tc>
          <w:tcPr>
            <w:tcW w:w="1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110000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道路网</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110100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道路结点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1"/>
                <w:szCs w:val="21"/>
                <w:u w:val="none"/>
                <w:lang w:val="en-US" w:eastAsia="zh-CN" w:bidi="ar"/>
              </w:rPr>
              <w:t>110200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道路网路口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1"/>
                <w:szCs w:val="21"/>
                <w:u w:val="none"/>
                <w:lang w:val="en-US" w:eastAsia="zh-CN" w:bidi="ar"/>
              </w:rPr>
              <w:t>110201</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110202</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110203</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分合流路口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110204</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主辅路出入口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110205</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掉头口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110206</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复合路口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道路参考线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110301</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高速公路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110302</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110303</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城市快速路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110304</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城市主干路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110305</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城市次干路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110306</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城市支路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110307</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内部道路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110308</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110309</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110310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110311</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110312</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110400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道路虚拟连接线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120000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车道网</w:t>
            </w:r>
          </w:p>
        </w:tc>
        <w:tc>
          <w:tcPr>
            <w:tcW w:w="1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120100</w:t>
            </w:r>
          </w:p>
        </w:tc>
        <w:tc>
          <w:tcPr>
            <w:tcW w:w="10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车道结点</w:t>
            </w:r>
          </w:p>
        </w:tc>
      </w:tr>
    </w:tbl>
    <w:p>
      <w:pPr>
        <w:pStyle w:val="81"/>
        <w:numPr>
          <w:ilvl w:val="1"/>
          <w:numId w:val="0"/>
        </w:numPr>
        <w:spacing w:before="120" w:after="120"/>
        <w:ind w:left="0" w:leftChars="0" w:firstLine="0" w:firstLineChars="0"/>
        <w:rPr>
          <w:rFonts w:hint="eastAsia" w:eastAsia="黑体"/>
          <w:lang w:eastAsia="zh-CN"/>
        </w:rPr>
      </w:pPr>
      <w:r>
        <w:rPr>
          <w:rFonts w:hint="eastAsia" w:ascii="黑体" w:hAnsi="Times New Roman" w:eastAsia="黑体" w:cs="Times New Roman"/>
          <w:kern w:val="21"/>
          <w:sz w:val="21"/>
          <w:lang w:val="en-US" w:eastAsia="zh-CN" w:bidi="ar-SA"/>
        </w:rPr>
        <w:t>表B.</w:t>
      </w:r>
      <w:r>
        <w:rPr>
          <w:rFonts w:hint="eastAsia" w:cs="Times New Roman"/>
          <w:kern w:val="21"/>
          <w:sz w:val="21"/>
          <w:lang w:val="en-US" w:eastAsia="zh-CN" w:bidi="ar-SA"/>
        </w:rPr>
        <w:t>1</w:t>
      </w:r>
      <w:r>
        <w:rPr>
          <w:rFonts w:hint="eastAsia" w:hAnsi="黑体"/>
          <w:lang w:eastAsia="zh-CN"/>
        </w:rPr>
        <w:t>（</w:t>
      </w:r>
      <w:r>
        <w:rPr>
          <w:rFonts w:hint="eastAsia" w:hAnsi="黑体"/>
          <w:lang w:val="en-US" w:eastAsia="zh-CN"/>
        </w:rPr>
        <w:t>续</w:t>
      </w:r>
      <w:r>
        <w:rPr>
          <w:rFonts w:hint="eastAsia" w:hAnsi="黑体"/>
          <w:lang w:eastAsia="zh-CN"/>
        </w:rPr>
        <w:t>）</w:t>
      </w:r>
    </w:p>
    <w:tbl>
      <w:tblPr>
        <w:tblStyle w:val="28"/>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8"/>
        <w:gridCol w:w="1957"/>
        <w:gridCol w:w="2370"/>
        <w:gridCol w:w="3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cs="宋体"/>
                <w:b/>
                <w:bCs/>
                <w:i w:val="0"/>
                <w:iCs w:val="0"/>
                <w:color w:val="000000"/>
                <w:kern w:val="0"/>
                <w:sz w:val="22"/>
                <w:szCs w:val="22"/>
                <w:u w:val="none"/>
                <w:lang w:val="en-US" w:eastAsia="zh-CN" w:bidi="ar"/>
              </w:rPr>
              <w:t>编码</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大类名称</w:t>
            </w: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中类名称</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小类及子类名称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车道网路口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车道参考线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120301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机动车道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120302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非机动车道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120303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特殊功能车道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120400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车道虚拟连接线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道路设施</w:t>
            </w:r>
          </w:p>
        </w:tc>
        <w:tc>
          <w:tcPr>
            <w:tcW w:w="1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警告标志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禁令标志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指示标志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指路标志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旅游区标志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告示标志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130107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辅助标志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道路标线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指示标线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禁止标线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警告标线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突起路标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130205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轮廓标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交通路障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路缘石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墙体</w:t>
            </w:r>
          </w:p>
        </w:tc>
      </w:tr>
    </w:tbl>
    <w:p>
      <w:pPr>
        <w:pStyle w:val="81"/>
        <w:numPr>
          <w:ilvl w:val="1"/>
          <w:numId w:val="0"/>
        </w:numPr>
        <w:spacing w:before="120" w:after="120"/>
        <w:ind w:left="0" w:leftChars="0" w:firstLine="0" w:firstLineChars="0"/>
        <w:rPr>
          <w:rFonts w:hint="eastAsia" w:eastAsia="黑体"/>
          <w:lang w:eastAsia="zh-CN"/>
        </w:rPr>
      </w:pPr>
      <w:r>
        <w:rPr>
          <w:rFonts w:hint="eastAsia" w:ascii="黑体" w:hAnsi="Times New Roman" w:eastAsia="黑体" w:cs="Times New Roman"/>
          <w:kern w:val="21"/>
          <w:sz w:val="21"/>
          <w:lang w:val="en-US" w:eastAsia="zh-CN" w:bidi="ar-SA"/>
        </w:rPr>
        <w:t>表B.</w:t>
      </w:r>
      <w:r>
        <w:rPr>
          <w:rFonts w:hint="eastAsia" w:cs="Times New Roman"/>
          <w:kern w:val="21"/>
          <w:sz w:val="21"/>
          <w:lang w:val="en-US" w:eastAsia="zh-CN" w:bidi="ar-SA"/>
        </w:rPr>
        <w:t>1</w:t>
      </w:r>
      <w:r>
        <w:rPr>
          <w:rFonts w:hint="eastAsia" w:hAnsi="黑体"/>
          <w:lang w:eastAsia="zh-CN"/>
        </w:rPr>
        <w:t>（</w:t>
      </w:r>
      <w:r>
        <w:rPr>
          <w:rFonts w:hint="eastAsia" w:hAnsi="黑体"/>
          <w:lang w:val="en-US" w:eastAsia="zh-CN"/>
        </w:rPr>
        <w:t>续</w:t>
      </w:r>
      <w:r>
        <w:rPr>
          <w:rFonts w:hint="eastAsia" w:hAnsi="黑体"/>
          <w:lang w:eastAsia="zh-CN"/>
        </w:rPr>
        <w:t>）</w:t>
      </w:r>
    </w:p>
    <w:tbl>
      <w:tblPr>
        <w:tblStyle w:val="28"/>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8"/>
        <w:gridCol w:w="1956"/>
        <w:gridCol w:w="2369"/>
        <w:gridCol w:w="3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cs="宋体"/>
                <w:b/>
                <w:bCs/>
                <w:i w:val="0"/>
                <w:iCs w:val="0"/>
                <w:color w:val="000000"/>
                <w:kern w:val="0"/>
                <w:sz w:val="22"/>
                <w:szCs w:val="22"/>
                <w:u w:val="none"/>
                <w:lang w:val="en-US" w:eastAsia="zh-CN" w:bidi="ar"/>
              </w:rPr>
              <w:t>编码</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大类名称</w:t>
            </w: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中类名称</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小类及子类名称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防护网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130308</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130309</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130310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130311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减速丘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130312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130400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道路感知设施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激光雷达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亳米波雷达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超声波雷达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复合检测器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气象传感器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能见度传感器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130508</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路面状态传感器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消火栓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龙门架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牌坊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检查站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收费站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紧急电话亭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130608</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人行天桥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130609</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路内停车位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130610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公交站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130611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地铁站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130612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轻轨站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130613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长途汽车站</w:t>
            </w:r>
          </w:p>
        </w:tc>
      </w:tr>
    </w:tbl>
    <w:p>
      <w:pPr>
        <w:pStyle w:val="81"/>
        <w:numPr>
          <w:ilvl w:val="1"/>
          <w:numId w:val="0"/>
        </w:numPr>
        <w:spacing w:before="120" w:after="120"/>
        <w:ind w:left="0" w:leftChars="0" w:firstLine="0" w:firstLineChars="0"/>
        <w:rPr>
          <w:rFonts w:hint="eastAsia" w:eastAsia="黑体"/>
          <w:lang w:eastAsia="zh-CN"/>
        </w:rPr>
      </w:pPr>
      <w:r>
        <w:rPr>
          <w:rFonts w:hint="eastAsia" w:ascii="黑体" w:hAnsi="Times New Roman" w:eastAsia="黑体" w:cs="Times New Roman"/>
          <w:kern w:val="21"/>
          <w:sz w:val="21"/>
          <w:lang w:val="en-US" w:eastAsia="zh-CN" w:bidi="ar-SA"/>
        </w:rPr>
        <w:t>表B.</w:t>
      </w:r>
      <w:r>
        <w:rPr>
          <w:rFonts w:hint="eastAsia" w:cs="Times New Roman"/>
          <w:kern w:val="21"/>
          <w:sz w:val="21"/>
          <w:lang w:val="en-US" w:eastAsia="zh-CN" w:bidi="ar-SA"/>
        </w:rPr>
        <w:t>1</w:t>
      </w:r>
      <w:r>
        <w:rPr>
          <w:rFonts w:hint="eastAsia" w:hAnsi="黑体"/>
          <w:lang w:eastAsia="zh-CN"/>
        </w:rPr>
        <w:t>（</w:t>
      </w:r>
      <w:r>
        <w:rPr>
          <w:rFonts w:hint="eastAsia" w:hAnsi="黑体"/>
          <w:lang w:val="en-US" w:eastAsia="zh-CN"/>
        </w:rPr>
        <w:t>续</w:t>
      </w:r>
      <w:r>
        <w:rPr>
          <w:rFonts w:hint="eastAsia" w:hAnsi="黑体"/>
          <w:lang w:eastAsia="zh-CN"/>
        </w:rPr>
        <w:t>）</w:t>
      </w:r>
    </w:p>
    <w:tbl>
      <w:tblPr>
        <w:tblStyle w:val="28"/>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7"/>
        <w:gridCol w:w="1956"/>
        <w:gridCol w:w="2369"/>
        <w:gridCol w:w="3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cs="宋体"/>
                <w:b/>
                <w:bCs/>
                <w:i w:val="0"/>
                <w:iCs w:val="0"/>
                <w:color w:val="000000"/>
                <w:kern w:val="0"/>
                <w:sz w:val="22"/>
                <w:szCs w:val="22"/>
                <w:u w:val="none"/>
                <w:lang w:val="en-US" w:eastAsia="zh-CN" w:bidi="ar"/>
              </w:rPr>
              <w:t>编码</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大类名称</w:t>
            </w: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中类名称</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小类及子类名称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130614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杆状物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交通标志牌杆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广告牌杆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龙门架杆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道路感知设施支撑杆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130708</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道路反光镜支撑杆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140000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道路构造物</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140100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140200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隧道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140300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兴趣点（POI）</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机关团体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文教卫生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商业金融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150400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体育休闲娱乐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150500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公共传媒与通信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150600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加油站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150700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充电/换电站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150800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150900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旅游景点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背景环境</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区域与边界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160101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160102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行政区域边界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160103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命名区域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河流</w:t>
            </w:r>
          </w:p>
        </w:tc>
      </w:tr>
    </w:tbl>
    <w:p>
      <w:pPr>
        <w:pStyle w:val="81"/>
        <w:numPr>
          <w:ilvl w:val="1"/>
          <w:numId w:val="0"/>
        </w:numPr>
        <w:spacing w:before="120" w:after="120"/>
        <w:ind w:left="0" w:leftChars="0" w:firstLine="0" w:firstLineChars="0"/>
        <w:rPr>
          <w:rFonts w:hint="eastAsia" w:eastAsia="黑体"/>
          <w:lang w:eastAsia="zh-CN"/>
        </w:rPr>
      </w:pPr>
      <w:r>
        <w:rPr>
          <w:rFonts w:hint="eastAsia" w:ascii="黑体" w:hAnsi="Times New Roman" w:eastAsia="黑体" w:cs="Times New Roman"/>
          <w:kern w:val="21"/>
          <w:sz w:val="21"/>
          <w:lang w:val="en-US" w:eastAsia="zh-CN" w:bidi="ar-SA"/>
        </w:rPr>
        <w:t>表B.</w:t>
      </w:r>
      <w:r>
        <w:rPr>
          <w:rFonts w:hint="eastAsia" w:cs="Times New Roman"/>
          <w:kern w:val="21"/>
          <w:sz w:val="21"/>
          <w:lang w:val="en-US" w:eastAsia="zh-CN" w:bidi="ar-SA"/>
        </w:rPr>
        <w:t>1</w:t>
      </w:r>
      <w:r>
        <w:rPr>
          <w:rFonts w:hint="eastAsia" w:hAnsi="黑体"/>
          <w:lang w:eastAsia="zh-CN"/>
        </w:rPr>
        <w:t>（</w:t>
      </w:r>
      <w:r>
        <w:rPr>
          <w:rFonts w:hint="eastAsia" w:hAnsi="黑体"/>
          <w:lang w:val="en-US" w:eastAsia="zh-CN"/>
        </w:rPr>
        <w:t>续</w:t>
      </w:r>
      <w:r>
        <w:rPr>
          <w:rFonts w:hint="eastAsia" w:hAnsi="黑体"/>
          <w:lang w:eastAsia="zh-CN"/>
        </w:rPr>
        <w:t>）</w:t>
      </w:r>
    </w:p>
    <w:tbl>
      <w:tblPr>
        <w:tblStyle w:val="28"/>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7"/>
        <w:gridCol w:w="1956"/>
        <w:gridCol w:w="2369"/>
        <w:gridCol w:w="3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cs="宋体"/>
                <w:b/>
                <w:bCs/>
                <w:i w:val="0"/>
                <w:iCs w:val="0"/>
                <w:color w:val="000000"/>
                <w:kern w:val="0"/>
                <w:sz w:val="22"/>
                <w:szCs w:val="22"/>
                <w:u w:val="none"/>
                <w:lang w:val="en-US" w:eastAsia="zh-CN" w:bidi="ar"/>
              </w:rPr>
              <w:t>编码</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大类名称</w:t>
            </w: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中类名称</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小类及子类名称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池塘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160207</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160208</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岸线（水涯线）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土地覆盖与土地利用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160301</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街区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160302</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160303</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160304</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农林用地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160305</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岛屿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160306</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其他用地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200000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道路动态要素</w:t>
            </w:r>
          </w:p>
        </w:tc>
        <w:tc>
          <w:tcPr>
            <w:tcW w:w="1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交通状况</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交通管制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交通流量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210300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交通拥堵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210400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210500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交通限制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210600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交通事件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220000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天气条件</w:t>
            </w: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220100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实况天气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220200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预报天气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300000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车辆感知要素</w:t>
            </w: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310000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机动车</w:t>
            </w: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320000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非机动车</w:t>
            </w: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330000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行人</w:t>
            </w: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340000</w:t>
            </w:r>
          </w:p>
        </w:tc>
        <w:tc>
          <w:tcPr>
            <w:tcW w:w="10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障碍物</w:t>
            </w:r>
          </w:p>
        </w:tc>
        <w:tc>
          <w:tcPr>
            <w:tcW w:w="19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bl>
    <w:p>
      <w:pPr>
        <w:pStyle w:val="60"/>
        <w:ind w:firstLine="420"/>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linePitch="312" w:charSpace="0"/>
        </w:sectPr>
      </w:pPr>
    </w:p>
    <w:p>
      <w:pPr>
        <w:pStyle w:val="67"/>
        <w:spacing w:after="120"/>
      </w:pPr>
      <w:bookmarkStart w:id="96" w:name="_Toc24558"/>
      <w:bookmarkStart w:id="97" w:name="_Toc195168430"/>
      <w:r>
        <w:rPr>
          <w:rFonts w:hint="eastAsia"/>
          <w:spacing w:val="105"/>
        </w:rPr>
        <w:t>参考文</w:t>
      </w:r>
      <w:r>
        <w:rPr>
          <w:rFonts w:hint="eastAsia"/>
        </w:rPr>
        <w:t>献</w:t>
      </w:r>
      <w:bookmarkEnd w:id="96"/>
      <w:bookmarkEnd w:id="97"/>
    </w:p>
    <w:p>
      <w:pPr>
        <w:pStyle w:val="60"/>
        <w:ind w:firstLine="420"/>
        <w:rPr>
          <w:rFonts w:hAnsi="宋体"/>
        </w:rPr>
      </w:pPr>
      <w:r>
        <w:rPr>
          <w:rFonts w:hint="eastAsia" w:hAnsi="宋体"/>
        </w:rPr>
        <w:t>[1]  GB 5768.2 道路交通标志和标线 第2部分：道路交通标志</w:t>
      </w:r>
    </w:p>
    <w:p>
      <w:pPr>
        <w:pStyle w:val="60"/>
        <w:ind w:firstLine="420"/>
        <w:rPr>
          <w:rFonts w:hint="eastAsia" w:hAnsi="宋体"/>
        </w:rPr>
      </w:pPr>
      <w:r>
        <w:rPr>
          <w:rFonts w:hint="eastAsia" w:hAnsi="宋体"/>
        </w:rPr>
        <w:t>[2]  GB 5768.3 道路交通标志和标线 第3部分：道路交通标线</w:t>
      </w:r>
    </w:p>
    <w:p>
      <w:pPr>
        <w:pStyle w:val="60"/>
        <w:ind w:firstLine="420"/>
        <w:rPr>
          <w:rFonts w:hAnsi="宋体"/>
        </w:rPr>
      </w:pPr>
      <w:r>
        <w:rPr>
          <w:rFonts w:hint="eastAsia" w:hAnsi="宋体"/>
        </w:rPr>
        <w:t>[</w:t>
      </w:r>
      <w:r>
        <w:rPr>
          <w:rFonts w:hint="eastAsia" w:hAnsi="宋体"/>
          <w:lang w:val="en-US" w:eastAsia="zh-CN"/>
        </w:rPr>
        <w:t>3</w:t>
      </w:r>
      <w:r>
        <w:rPr>
          <w:rFonts w:hint="eastAsia" w:hAnsi="宋体"/>
        </w:rPr>
        <w:t xml:space="preserve">]  </w:t>
      </w:r>
      <w:r>
        <w:rPr>
          <w:rFonts w:hint="eastAsia"/>
        </w:rPr>
        <w:t>GB</w:t>
      </w:r>
      <w:r>
        <w:t>/</w:t>
      </w:r>
      <w:r>
        <w:rPr>
          <w:rFonts w:hint="eastAsia"/>
        </w:rPr>
        <w:t xml:space="preserve">T </w:t>
      </w:r>
      <w:r>
        <w:rPr>
          <w:rFonts w:hint="eastAsia"/>
          <w:lang w:val="en-US" w:eastAsia="zh-CN"/>
        </w:rPr>
        <w:t xml:space="preserve">13923-2022 </w:t>
      </w:r>
      <w:r>
        <w:rPr>
          <w:rFonts w:hint="eastAsia"/>
        </w:rPr>
        <w:t>基础地理信息要素分类与代码</w:t>
      </w:r>
    </w:p>
    <w:p>
      <w:pPr>
        <w:pStyle w:val="60"/>
        <w:ind w:firstLine="420"/>
        <w:rPr>
          <w:rFonts w:hAnsi="宋体"/>
        </w:rPr>
      </w:pPr>
      <w:r>
        <w:rPr>
          <w:rFonts w:hint="eastAsia" w:hAnsi="宋体"/>
        </w:rPr>
        <w:t>[</w:t>
      </w:r>
      <w:r>
        <w:rPr>
          <w:rFonts w:hint="eastAsia" w:hAnsi="宋体"/>
          <w:lang w:val="en-US" w:eastAsia="zh-CN"/>
        </w:rPr>
        <w:t>4</w:t>
      </w:r>
      <w:r>
        <w:rPr>
          <w:rFonts w:hint="eastAsia" w:hAnsi="宋体"/>
        </w:rPr>
        <w:t xml:space="preserve">]  </w:t>
      </w:r>
      <w:r>
        <w:rPr>
          <w:rFonts w:hint="eastAsia"/>
        </w:rPr>
        <w:t>GB</w:t>
      </w:r>
      <w:r>
        <w:t>/</w:t>
      </w:r>
      <w:r>
        <w:rPr>
          <w:rFonts w:hint="eastAsia"/>
        </w:rPr>
        <w:t>T 19711 导航地理数据模型与交换格式</w:t>
      </w:r>
    </w:p>
    <w:p>
      <w:pPr>
        <w:pStyle w:val="60"/>
        <w:ind w:firstLine="420"/>
      </w:pPr>
      <w:r>
        <w:rPr>
          <w:rFonts w:hint="eastAsia" w:hAnsi="宋体"/>
        </w:rPr>
        <w:t>[</w:t>
      </w:r>
      <w:r>
        <w:rPr>
          <w:rFonts w:hint="eastAsia" w:hAnsi="宋体"/>
          <w:lang w:val="en-US" w:eastAsia="zh-CN"/>
        </w:rPr>
        <w:t>5</w:t>
      </w:r>
      <w:r>
        <w:rPr>
          <w:rFonts w:hint="eastAsia" w:hAnsi="宋体"/>
        </w:rPr>
        <w:t xml:space="preserve">]  </w:t>
      </w:r>
      <w:r>
        <w:rPr>
          <w:rFonts w:hint="eastAsia"/>
        </w:rPr>
        <w:t>GB/T 20133-2006 道路交通信息采集 信息分类与编码</w:t>
      </w:r>
    </w:p>
    <w:bookmarkEnd w:id="95"/>
    <w:p>
      <w:pPr>
        <w:pStyle w:val="60"/>
        <w:ind w:firstLine="420"/>
        <w:rPr>
          <w:rFonts w:hint="eastAsia"/>
        </w:rPr>
      </w:pPr>
      <w:r>
        <w:rPr>
          <w:rFonts w:hint="eastAsia" w:hAnsi="宋体"/>
        </w:rPr>
        <w:t>[</w:t>
      </w:r>
      <w:r>
        <w:rPr>
          <w:rFonts w:hint="eastAsia" w:hAnsi="宋体"/>
          <w:lang w:val="en-US" w:eastAsia="zh-CN"/>
        </w:rPr>
        <w:t>6</w:t>
      </w:r>
      <w:r>
        <w:rPr>
          <w:rFonts w:hint="eastAsia" w:hAnsi="宋体"/>
        </w:rPr>
        <w:t xml:space="preserve">] </w:t>
      </w:r>
      <w:r>
        <w:rPr>
          <w:rFonts w:hAnsi="宋体"/>
        </w:rPr>
        <w:t xml:space="preserve"> </w:t>
      </w:r>
      <w:r>
        <w:t>GB/T 25529</w:t>
      </w:r>
      <w:r>
        <w:rPr>
          <w:rFonts w:hint="eastAsia"/>
        </w:rPr>
        <w:t>-2010</w:t>
      </w:r>
      <w:r>
        <w:t xml:space="preserve"> </w:t>
      </w:r>
      <w:r>
        <w:rPr>
          <w:rFonts w:hint="eastAsia"/>
        </w:rPr>
        <w:t>地理信息分类与编码规则</w:t>
      </w:r>
    </w:p>
    <w:p>
      <w:pPr>
        <w:pStyle w:val="60"/>
        <w:ind w:firstLine="420"/>
        <w:rPr>
          <w:rFonts w:hAnsi="宋体"/>
        </w:rPr>
      </w:pPr>
      <w:r>
        <w:rPr>
          <w:rFonts w:hint="eastAsia" w:hAnsi="宋体"/>
        </w:rPr>
        <w:t>[</w:t>
      </w:r>
      <w:r>
        <w:rPr>
          <w:rFonts w:hint="eastAsia" w:hAnsi="宋体"/>
          <w:lang w:val="en-US" w:eastAsia="zh-CN"/>
        </w:rPr>
        <w:t>7</w:t>
      </w:r>
      <w:r>
        <w:rPr>
          <w:rFonts w:hint="eastAsia" w:hAnsi="宋体"/>
        </w:rPr>
        <w:t>]  GB/T 28442-2012 导航电子地图数据分类与编码</w:t>
      </w:r>
    </w:p>
    <w:p>
      <w:pPr>
        <w:pStyle w:val="60"/>
        <w:ind w:firstLine="420"/>
        <w:rPr>
          <w:rFonts w:hint="default" w:eastAsia="宋体"/>
          <w:lang w:val="en-US" w:eastAsia="zh-CN"/>
        </w:rPr>
      </w:pPr>
      <w:r>
        <w:rPr>
          <w:rFonts w:hint="eastAsia" w:hAnsi="宋体"/>
        </w:rPr>
        <w:t>[</w:t>
      </w:r>
      <w:r>
        <w:rPr>
          <w:rFonts w:hint="eastAsia" w:hAnsi="宋体"/>
          <w:lang w:val="en-US" w:eastAsia="zh-CN"/>
        </w:rPr>
        <w:t>8</w:t>
      </w:r>
      <w:r>
        <w:rPr>
          <w:rFonts w:hint="eastAsia" w:hAnsi="宋体"/>
        </w:rPr>
        <w:t xml:space="preserve">] </w:t>
      </w:r>
      <w:r>
        <w:rPr>
          <w:rFonts w:hAnsi="宋体"/>
        </w:rPr>
        <w:t xml:space="preserve"> </w:t>
      </w:r>
      <w:r>
        <w:rPr>
          <w:rFonts w:hint="eastAsia"/>
        </w:rPr>
        <w:t>GB/T 30699-2014</w:t>
      </w:r>
      <w:r>
        <w:rPr>
          <w:rFonts w:hint="eastAsia"/>
          <w:lang w:val="en-US" w:eastAsia="zh-CN"/>
        </w:rPr>
        <w:t xml:space="preserve">  道路交通标志编码</w:t>
      </w:r>
    </w:p>
    <w:p>
      <w:pPr>
        <w:pStyle w:val="60"/>
        <w:ind w:firstLine="420"/>
      </w:pPr>
      <w:r>
        <w:rPr>
          <w:rFonts w:hint="eastAsia" w:hAnsi="宋体"/>
        </w:rPr>
        <w:t>[</w:t>
      </w:r>
      <w:r>
        <w:rPr>
          <w:rFonts w:hint="eastAsia" w:hAnsi="宋体"/>
          <w:lang w:val="en-US" w:eastAsia="zh-CN"/>
        </w:rPr>
        <w:t>9</w:t>
      </w:r>
      <w:r>
        <w:rPr>
          <w:rFonts w:hint="eastAsia" w:hAnsi="宋体"/>
        </w:rPr>
        <w:t xml:space="preserve">]  </w:t>
      </w:r>
      <w:r>
        <w:rPr>
          <w:rFonts w:hint="eastAsia"/>
        </w:rPr>
        <w:t>GB/T 33188.1-2016  地理信息 参考模型 第1部分：基础</w:t>
      </w:r>
    </w:p>
    <w:p>
      <w:pPr>
        <w:pStyle w:val="60"/>
        <w:ind w:firstLine="420"/>
      </w:pPr>
      <w:r>
        <w:rPr>
          <w:rFonts w:hint="eastAsia" w:hAnsi="宋体"/>
        </w:rPr>
        <w:t>[</w:t>
      </w:r>
      <w:r>
        <w:rPr>
          <w:rFonts w:hint="eastAsia" w:hAnsi="宋体"/>
          <w:lang w:val="en-US" w:eastAsia="zh-CN"/>
        </w:rPr>
        <w:t>10</w:t>
      </w:r>
      <w:r>
        <w:rPr>
          <w:rFonts w:hint="eastAsia" w:hAnsi="宋体"/>
        </w:rPr>
        <w:t xml:space="preserve">]  </w:t>
      </w:r>
      <w:r>
        <w:rPr>
          <w:rFonts w:hint="eastAsia"/>
        </w:rPr>
        <w:t>GB/T 35648-2017 地理信息兴趣点分类与编码</w:t>
      </w:r>
    </w:p>
    <w:p>
      <w:pPr>
        <w:pStyle w:val="60"/>
        <w:ind w:firstLine="420"/>
        <w:rPr>
          <w:rFonts w:hint="eastAsia" w:hAnsi="宋体"/>
        </w:rPr>
      </w:pPr>
      <w:r>
        <w:rPr>
          <w:rFonts w:hint="eastAsia" w:hAnsi="宋体"/>
        </w:rPr>
        <w:t>[</w:t>
      </w:r>
      <w:r>
        <w:rPr>
          <w:rFonts w:hint="eastAsia" w:hAnsi="宋体"/>
          <w:lang w:val="en-US" w:eastAsia="zh-CN"/>
        </w:rPr>
        <w:t>11</w:t>
      </w:r>
      <w:r>
        <w:rPr>
          <w:rFonts w:hint="eastAsia" w:hAnsi="宋体"/>
        </w:rPr>
        <w:t xml:space="preserve">] </w:t>
      </w:r>
      <w:r>
        <w:rPr>
          <w:rFonts w:hint="eastAsia" w:hAnsi="宋体"/>
          <w:lang w:val="en-US" w:eastAsia="zh-CN"/>
        </w:rPr>
        <w:t xml:space="preserve"> </w:t>
      </w:r>
      <w:r>
        <w:rPr>
          <w:rFonts w:hint="eastAsia" w:hAnsi="宋体"/>
        </w:rPr>
        <w:t>GB/T 40429-2021 汽车驾驶自动化分级</w:t>
      </w:r>
    </w:p>
    <w:p>
      <w:pPr>
        <w:pStyle w:val="60"/>
        <w:ind w:firstLine="420"/>
        <w:rPr>
          <w:rFonts w:hint="eastAsia"/>
        </w:rPr>
      </w:pPr>
      <w:r>
        <w:rPr>
          <w:rFonts w:hint="eastAsia" w:hAnsi="宋体"/>
        </w:rPr>
        <w:t>[</w:t>
      </w:r>
      <w:r>
        <w:rPr>
          <w:rFonts w:hint="eastAsia" w:hAnsi="宋体"/>
          <w:lang w:val="en-US" w:eastAsia="zh-CN"/>
        </w:rPr>
        <w:t>12</w:t>
      </w:r>
      <w:r>
        <w:rPr>
          <w:rFonts w:hint="eastAsia" w:hAnsi="宋体"/>
        </w:rPr>
        <w:t>]</w:t>
      </w:r>
      <w:r>
        <w:rPr>
          <w:rFonts w:hint="eastAsia"/>
        </w:rPr>
        <w:t xml:space="preserve"> </w:t>
      </w:r>
      <w:r>
        <w:rPr>
          <w:rFonts w:hint="eastAsia"/>
          <w:lang w:val="en-US" w:eastAsia="zh-CN"/>
        </w:rPr>
        <w:t xml:space="preserve"> </w:t>
      </w:r>
      <w:r>
        <w:rPr>
          <w:rFonts w:hint="eastAsia"/>
        </w:rPr>
        <w:t>GB 50688</w:t>
      </w:r>
      <w:r>
        <w:rPr>
          <w:rFonts w:hint="eastAsia"/>
          <w:lang w:val="en-US" w:eastAsia="zh-CN"/>
        </w:rPr>
        <w:t>-</w:t>
      </w:r>
      <w:r>
        <w:rPr>
          <w:rFonts w:hint="eastAsia"/>
        </w:rPr>
        <w:t>2011</w:t>
      </w:r>
      <w:r>
        <w:rPr>
          <w:rFonts w:hint="eastAsia"/>
          <w:lang w:eastAsia="zh-CN"/>
        </w:rPr>
        <w:t>（</w:t>
      </w:r>
      <w:r>
        <w:rPr>
          <w:rFonts w:hint="eastAsia"/>
        </w:rPr>
        <w:t>2019年版</w:t>
      </w:r>
      <w:r>
        <w:rPr>
          <w:rFonts w:hint="eastAsia"/>
          <w:lang w:eastAsia="zh-CN"/>
        </w:rPr>
        <w:t>）</w:t>
      </w:r>
      <w:r>
        <w:rPr>
          <w:rFonts w:hint="eastAsia" w:hAnsi="宋体"/>
        </w:rPr>
        <w:t xml:space="preserve"> </w:t>
      </w:r>
      <w:r>
        <w:rPr>
          <w:rFonts w:hint="eastAsia"/>
        </w:rPr>
        <w:t>城市道路交通设施设计规范</w:t>
      </w:r>
    </w:p>
    <w:p>
      <w:pPr>
        <w:pStyle w:val="60"/>
        <w:ind w:firstLine="420"/>
        <w:rPr>
          <w:rFonts w:hAnsi="宋体"/>
        </w:rPr>
      </w:pPr>
      <w:r>
        <w:rPr>
          <w:rFonts w:hint="eastAsia" w:hAnsi="宋体"/>
        </w:rPr>
        <w:t>[</w:t>
      </w:r>
      <w:r>
        <w:rPr>
          <w:rFonts w:hint="eastAsia" w:hAnsi="宋体"/>
          <w:lang w:val="en-US" w:eastAsia="zh-CN"/>
        </w:rPr>
        <w:t>13</w:t>
      </w:r>
      <w:r>
        <w:rPr>
          <w:rFonts w:hint="eastAsia" w:hAnsi="宋体"/>
        </w:rPr>
        <w:t>]</w:t>
      </w:r>
      <w:r>
        <w:rPr>
          <w:rFonts w:hint="eastAsia" w:hAnsi="宋体"/>
          <w:lang w:val="en-US" w:eastAsia="zh-CN"/>
        </w:rPr>
        <w:t xml:space="preserve"> </w:t>
      </w:r>
      <w:r>
        <w:rPr>
          <w:rFonts w:hint="eastAsia" w:hAnsi="宋体"/>
        </w:rPr>
        <w:t xml:space="preserve"> GB 51038 城市道路交通标志和标线设置规范</w:t>
      </w:r>
    </w:p>
    <w:p>
      <w:pPr>
        <w:pStyle w:val="60"/>
        <w:ind w:firstLine="420"/>
      </w:pPr>
      <w:r>
        <w:rPr>
          <w:rFonts w:hint="eastAsia" w:hAnsi="宋体"/>
        </w:rPr>
        <w:t>[1</w:t>
      </w:r>
      <w:r>
        <w:rPr>
          <w:rFonts w:hint="eastAsia" w:hAnsi="宋体"/>
          <w:lang w:val="en-US" w:eastAsia="zh-CN"/>
        </w:rPr>
        <w:t>4</w:t>
      </w:r>
      <w:r>
        <w:rPr>
          <w:rFonts w:hint="eastAsia" w:hAnsi="宋体"/>
        </w:rPr>
        <w:t xml:space="preserve">] </w:t>
      </w:r>
      <w:r>
        <w:rPr>
          <w:rFonts w:hint="eastAsia" w:hAnsi="宋体"/>
          <w:lang w:val="en-US" w:eastAsia="zh-CN"/>
        </w:rPr>
        <w:t xml:space="preserve"> </w:t>
      </w:r>
      <w:r>
        <w:t xml:space="preserve">CH/T 4026-2023 </w:t>
      </w:r>
      <w:r>
        <w:rPr>
          <w:rFonts w:hint="eastAsia"/>
        </w:rPr>
        <w:t>道路高精导航电子地图数据规范</w:t>
      </w:r>
    </w:p>
    <w:p>
      <w:pPr>
        <w:pStyle w:val="60"/>
        <w:ind w:left="420" w:leftChars="200" w:firstLine="0" w:firstLineChars="0"/>
        <w:rPr>
          <w:rFonts w:hint="eastAsia"/>
        </w:rPr>
      </w:pPr>
      <w:r>
        <w:rPr>
          <w:rFonts w:hint="eastAsia" w:hAnsi="宋体"/>
        </w:rPr>
        <w:t>[1</w:t>
      </w:r>
      <w:r>
        <w:rPr>
          <w:rFonts w:hint="eastAsia" w:hAnsi="宋体"/>
          <w:lang w:val="en-US" w:eastAsia="zh-CN"/>
        </w:rPr>
        <w:t>5</w:t>
      </w:r>
      <w:r>
        <w:rPr>
          <w:rFonts w:hint="eastAsia" w:hAnsi="宋体"/>
        </w:rPr>
        <w:t xml:space="preserve">] </w:t>
      </w:r>
      <w:r>
        <w:rPr>
          <w:rFonts w:hint="eastAsia" w:hAnsi="宋体"/>
          <w:lang w:val="en-US" w:eastAsia="zh-CN"/>
        </w:rPr>
        <w:t xml:space="preserve"> </w:t>
      </w:r>
      <w:r>
        <w:rPr>
          <w:rFonts w:hint="eastAsia"/>
        </w:rPr>
        <w:t>CH/T XXXX-</w:t>
      </w:r>
      <w:r>
        <w:t>XXXX</w:t>
      </w:r>
      <w:r>
        <w:rPr>
          <w:rFonts w:hint="eastAsia"/>
        </w:rPr>
        <w:t xml:space="preserve"> 智能汽车高精地图框架模型</w:t>
      </w:r>
      <w:r>
        <w:rPr>
          <w:rFonts w:hint="eastAsia"/>
        </w:rPr>
        <w:br w:type="textWrapping"/>
      </w:r>
      <w:r>
        <w:rPr>
          <w:rFonts w:hint="eastAsia" w:hAnsi="宋体"/>
        </w:rPr>
        <w:t>[1</w:t>
      </w:r>
      <w:r>
        <w:rPr>
          <w:rFonts w:hint="eastAsia" w:hAnsi="宋体"/>
          <w:lang w:val="en-US" w:eastAsia="zh-CN"/>
        </w:rPr>
        <w:t>6</w:t>
      </w:r>
      <w:r>
        <w:rPr>
          <w:rFonts w:hint="eastAsia" w:hAnsi="宋体"/>
        </w:rPr>
        <w:t xml:space="preserve">] </w:t>
      </w:r>
      <w:r>
        <w:rPr>
          <w:rFonts w:hint="eastAsia" w:hAnsi="宋体"/>
          <w:lang w:val="en-US" w:eastAsia="zh-CN"/>
        </w:rPr>
        <w:t xml:space="preserve"> </w:t>
      </w:r>
      <w:r>
        <w:rPr>
          <w:rFonts w:hint="eastAsia"/>
        </w:rPr>
        <w:t>JTG D81-2017 公路交通安全设施设计规范</w:t>
      </w:r>
    </w:p>
    <w:p/>
    <w:sectPr>
      <w:headerReference r:id="rId33" w:type="default"/>
      <w:footerReference r:id="rId35" w:type="default"/>
      <w:headerReference r:id="rId34" w:type="even"/>
      <w:footerReference r:id="rId3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3</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4</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5</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6</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7</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6"/>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6"/>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5"/>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5"/>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CH/T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CH/T XXXXX—XXXX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CH/T XXXXX—XXXX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CH/T XXXXX—XXXX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CH/T XXXXX—XXXX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CH/T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jc w:val="right"/>
    </w:pPr>
    <w:r>
      <w:fldChar w:fldCharType="begin"/>
    </w:r>
    <w:r>
      <w:instrText xml:space="preserve"> STYLEREF  标准文件_文件编号 \* MERGEFORMAT </w:instrText>
    </w:r>
    <w:r>
      <w:fldChar w:fldCharType="separate"/>
    </w:r>
    <w:r>
      <w:t>CH/T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CH/T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CH/T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CH/T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CH/T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lOTc2ZTFjODE3NzEyOGM1MjUzYjdjNDM1OWNlOWMifQ=="/>
  </w:docVars>
  <w:rsids>
    <w:rsidRoot w:val="008E64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676"/>
    <w:rsid w:val="00036A2E"/>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5E7"/>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E76A4"/>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8F2"/>
    <w:rsid w:val="00133AAE"/>
    <w:rsid w:val="00135323"/>
    <w:rsid w:val="001356C4"/>
    <w:rsid w:val="00141114"/>
    <w:rsid w:val="00142969"/>
    <w:rsid w:val="001457E7"/>
    <w:rsid w:val="00145D9D"/>
    <w:rsid w:val="00146388"/>
    <w:rsid w:val="0015158D"/>
    <w:rsid w:val="001529E5"/>
    <w:rsid w:val="00153C7E"/>
    <w:rsid w:val="00156B25"/>
    <w:rsid w:val="00156E1A"/>
    <w:rsid w:val="00157B55"/>
    <w:rsid w:val="001642FA"/>
    <w:rsid w:val="001647D4"/>
    <w:rsid w:val="001649EB"/>
    <w:rsid w:val="00164BAF"/>
    <w:rsid w:val="00164FA8"/>
    <w:rsid w:val="00165065"/>
    <w:rsid w:val="00165434"/>
    <w:rsid w:val="0016580B"/>
    <w:rsid w:val="00165F49"/>
    <w:rsid w:val="00166B88"/>
    <w:rsid w:val="0016770A"/>
    <w:rsid w:val="00170804"/>
    <w:rsid w:val="001708E9"/>
    <w:rsid w:val="00171425"/>
    <w:rsid w:val="0017340B"/>
    <w:rsid w:val="00173FB1"/>
    <w:rsid w:val="00176DFD"/>
    <w:rsid w:val="001852C9"/>
    <w:rsid w:val="00186236"/>
    <w:rsid w:val="00190087"/>
    <w:rsid w:val="001913C4"/>
    <w:rsid w:val="0019348F"/>
    <w:rsid w:val="00193A07"/>
    <w:rsid w:val="00194C95"/>
    <w:rsid w:val="00195C34"/>
    <w:rsid w:val="001A1A53"/>
    <w:rsid w:val="001A234A"/>
    <w:rsid w:val="001B06E8"/>
    <w:rsid w:val="001B13FC"/>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36E"/>
    <w:rsid w:val="001E1B6A"/>
    <w:rsid w:val="001E2484"/>
    <w:rsid w:val="001E3CC4"/>
    <w:rsid w:val="001E4882"/>
    <w:rsid w:val="001E73AB"/>
    <w:rsid w:val="001F092D"/>
    <w:rsid w:val="001F143A"/>
    <w:rsid w:val="001F1605"/>
    <w:rsid w:val="001F2508"/>
    <w:rsid w:val="001F35A4"/>
    <w:rsid w:val="001F44DA"/>
    <w:rsid w:val="001F4816"/>
    <w:rsid w:val="001F69B4"/>
    <w:rsid w:val="001F77C7"/>
    <w:rsid w:val="00200183"/>
    <w:rsid w:val="0020107D"/>
    <w:rsid w:val="00202AA4"/>
    <w:rsid w:val="002031F7"/>
    <w:rsid w:val="002040E6"/>
    <w:rsid w:val="0020527B"/>
    <w:rsid w:val="002059A4"/>
    <w:rsid w:val="00205F2C"/>
    <w:rsid w:val="00210B15"/>
    <w:rsid w:val="002142EA"/>
    <w:rsid w:val="00216E4E"/>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3676"/>
    <w:rsid w:val="002643C3"/>
    <w:rsid w:val="00264A0C"/>
    <w:rsid w:val="00267EF4"/>
    <w:rsid w:val="00270CB8"/>
    <w:rsid w:val="00272B08"/>
    <w:rsid w:val="00281BB8"/>
    <w:rsid w:val="00281E9E"/>
    <w:rsid w:val="00285170"/>
    <w:rsid w:val="00285361"/>
    <w:rsid w:val="00291F3F"/>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1450"/>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4463"/>
    <w:rsid w:val="00306063"/>
    <w:rsid w:val="00313B85"/>
    <w:rsid w:val="00317988"/>
    <w:rsid w:val="003221B4"/>
    <w:rsid w:val="00322E62"/>
    <w:rsid w:val="00324EDD"/>
    <w:rsid w:val="00326EC7"/>
    <w:rsid w:val="003331E4"/>
    <w:rsid w:val="003347FE"/>
    <w:rsid w:val="00335051"/>
    <w:rsid w:val="00336C64"/>
    <w:rsid w:val="00337162"/>
    <w:rsid w:val="0034194F"/>
    <w:rsid w:val="00342DB8"/>
    <w:rsid w:val="00344255"/>
    <w:rsid w:val="00344605"/>
    <w:rsid w:val="00346B84"/>
    <w:rsid w:val="003474AA"/>
    <w:rsid w:val="00350D1D"/>
    <w:rsid w:val="00351901"/>
    <w:rsid w:val="00352C83"/>
    <w:rsid w:val="003615D2"/>
    <w:rsid w:val="0036429C"/>
    <w:rsid w:val="00364A53"/>
    <w:rsid w:val="003654CB"/>
    <w:rsid w:val="00365F86"/>
    <w:rsid w:val="00365F87"/>
    <w:rsid w:val="003705F4"/>
    <w:rsid w:val="00370D58"/>
    <w:rsid w:val="00371316"/>
    <w:rsid w:val="00374082"/>
    <w:rsid w:val="00376713"/>
    <w:rsid w:val="00381815"/>
    <w:rsid w:val="003819AF"/>
    <w:rsid w:val="003820E9"/>
    <w:rsid w:val="00382DE7"/>
    <w:rsid w:val="00384FFC"/>
    <w:rsid w:val="003872FC"/>
    <w:rsid w:val="00387ADC"/>
    <w:rsid w:val="00390020"/>
    <w:rsid w:val="003903D6"/>
    <w:rsid w:val="00390EE6"/>
    <w:rsid w:val="00390F6F"/>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5F41"/>
    <w:rsid w:val="003D6D61"/>
    <w:rsid w:val="003E091D"/>
    <w:rsid w:val="003E1C53"/>
    <w:rsid w:val="003E2A69"/>
    <w:rsid w:val="003E2D49"/>
    <w:rsid w:val="003E2FD4"/>
    <w:rsid w:val="003E4267"/>
    <w:rsid w:val="003E49F6"/>
    <w:rsid w:val="003F0841"/>
    <w:rsid w:val="003F23D3"/>
    <w:rsid w:val="003F3F08"/>
    <w:rsid w:val="003F49F1"/>
    <w:rsid w:val="003F4BD0"/>
    <w:rsid w:val="003F6272"/>
    <w:rsid w:val="003F72A3"/>
    <w:rsid w:val="00400E72"/>
    <w:rsid w:val="004012EA"/>
    <w:rsid w:val="00401400"/>
    <w:rsid w:val="00404869"/>
    <w:rsid w:val="00405884"/>
    <w:rsid w:val="00407D39"/>
    <w:rsid w:val="0041477A"/>
    <w:rsid w:val="004167A3"/>
    <w:rsid w:val="00430CF7"/>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D7D48"/>
    <w:rsid w:val="004E0465"/>
    <w:rsid w:val="004E127B"/>
    <w:rsid w:val="004E1C0A"/>
    <w:rsid w:val="004E3014"/>
    <w:rsid w:val="004E30C5"/>
    <w:rsid w:val="004E4AA5"/>
    <w:rsid w:val="004E4AEE"/>
    <w:rsid w:val="004E5730"/>
    <w:rsid w:val="004E59E3"/>
    <w:rsid w:val="004E67C0"/>
    <w:rsid w:val="004E7799"/>
    <w:rsid w:val="004F391A"/>
    <w:rsid w:val="004F3CFB"/>
    <w:rsid w:val="004F6456"/>
    <w:rsid w:val="004F696E"/>
    <w:rsid w:val="004F6C71"/>
    <w:rsid w:val="004F6FC4"/>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3CB"/>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01"/>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5ECE"/>
    <w:rsid w:val="00606419"/>
    <w:rsid w:val="00607D29"/>
    <w:rsid w:val="00612952"/>
    <w:rsid w:val="006132B8"/>
    <w:rsid w:val="00614CC1"/>
    <w:rsid w:val="00615A9D"/>
    <w:rsid w:val="006172A8"/>
    <w:rsid w:val="00617387"/>
    <w:rsid w:val="006252D8"/>
    <w:rsid w:val="006259BC"/>
    <w:rsid w:val="0062636B"/>
    <w:rsid w:val="00632182"/>
    <w:rsid w:val="00632AE0"/>
    <w:rsid w:val="00633C17"/>
    <w:rsid w:val="00636E3E"/>
    <w:rsid w:val="006379F7"/>
    <w:rsid w:val="00637E4D"/>
    <w:rsid w:val="00640620"/>
    <w:rsid w:val="00641A1F"/>
    <w:rsid w:val="00643DAA"/>
    <w:rsid w:val="0064528D"/>
    <w:rsid w:val="00645904"/>
    <w:rsid w:val="00651ACB"/>
    <w:rsid w:val="00651C47"/>
    <w:rsid w:val="00652AB2"/>
    <w:rsid w:val="00654EC0"/>
    <w:rsid w:val="0065525B"/>
    <w:rsid w:val="00655D4F"/>
    <w:rsid w:val="00661F4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26B3"/>
    <w:rsid w:val="006B54BF"/>
    <w:rsid w:val="006B5F44"/>
    <w:rsid w:val="006B5F90"/>
    <w:rsid w:val="006B62E4"/>
    <w:rsid w:val="006B7562"/>
    <w:rsid w:val="006C1BBA"/>
    <w:rsid w:val="006C2079"/>
    <w:rsid w:val="006C317D"/>
    <w:rsid w:val="006C5A62"/>
    <w:rsid w:val="006C5D68"/>
    <w:rsid w:val="006C6976"/>
    <w:rsid w:val="006C6DD0"/>
    <w:rsid w:val="006D00E7"/>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14C5"/>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248D"/>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6F33"/>
    <w:rsid w:val="007B7453"/>
    <w:rsid w:val="007B78CC"/>
    <w:rsid w:val="007C2D89"/>
    <w:rsid w:val="007C4593"/>
    <w:rsid w:val="007C5309"/>
    <w:rsid w:val="007C6069"/>
    <w:rsid w:val="007D06C4"/>
    <w:rsid w:val="007D1352"/>
    <w:rsid w:val="007D2508"/>
    <w:rsid w:val="007D346A"/>
    <w:rsid w:val="007D40F7"/>
    <w:rsid w:val="007D6518"/>
    <w:rsid w:val="007D76BD"/>
    <w:rsid w:val="007E0BF1"/>
    <w:rsid w:val="007E0D02"/>
    <w:rsid w:val="007E258B"/>
    <w:rsid w:val="007E7211"/>
    <w:rsid w:val="007F0ED8"/>
    <w:rsid w:val="007F0F63"/>
    <w:rsid w:val="007F3748"/>
    <w:rsid w:val="007F4AF5"/>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EBA"/>
    <w:rsid w:val="0083348C"/>
    <w:rsid w:val="00833508"/>
    <w:rsid w:val="008373D3"/>
    <w:rsid w:val="00840617"/>
    <w:rsid w:val="00842A47"/>
    <w:rsid w:val="00843C13"/>
    <w:rsid w:val="008454F8"/>
    <w:rsid w:val="0085173A"/>
    <w:rsid w:val="00854343"/>
    <w:rsid w:val="008567B6"/>
    <w:rsid w:val="00860297"/>
    <w:rsid w:val="008603CE"/>
    <w:rsid w:val="008620FC"/>
    <w:rsid w:val="008627A5"/>
    <w:rsid w:val="00863E05"/>
    <w:rsid w:val="0086431E"/>
    <w:rsid w:val="00865ACA"/>
    <w:rsid w:val="00865D28"/>
    <w:rsid w:val="00865F85"/>
    <w:rsid w:val="00867C10"/>
    <w:rsid w:val="00870439"/>
    <w:rsid w:val="00870DA1"/>
    <w:rsid w:val="00883767"/>
    <w:rsid w:val="00883F93"/>
    <w:rsid w:val="00884DB3"/>
    <w:rsid w:val="00885A9D"/>
    <w:rsid w:val="008864F6"/>
    <w:rsid w:val="0089049D"/>
    <w:rsid w:val="0089085B"/>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EF2"/>
    <w:rsid w:val="008E4FDF"/>
    <w:rsid w:val="008E5518"/>
    <w:rsid w:val="008E6469"/>
    <w:rsid w:val="008E6A84"/>
    <w:rsid w:val="008F0CDC"/>
    <w:rsid w:val="008F17A3"/>
    <w:rsid w:val="008F1ED3"/>
    <w:rsid w:val="008F2651"/>
    <w:rsid w:val="008F4C29"/>
    <w:rsid w:val="008F58DC"/>
    <w:rsid w:val="008F70BD"/>
    <w:rsid w:val="008F788F"/>
    <w:rsid w:val="008F7EA2"/>
    <w:rsid w:val="00902722"/>
    <w:rsid w:val="009027BC"/>
    <w:rsid w:val="009062E6"/>
    <w:rsid w:val="009118AE"/>
    <w:rsid w:val="00911AF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46765"/>
    <w:rsid w:val="00953604"/>
    <w:rsid w:val="0095450E"/>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3421"/>
    <w:rsid w:val="009A36B2"/>
    <w:rsid w:val="009A42C1"/>
    <w:rsid w:val="009A5429"/>
    <w:rsid w:val="009A72AD"/>
    <w:rsid w:val="009B09E0"/>
    <w:rsid w:val="009B0BC5"/>
    <w:rsid w:val="009B1247"/>
    <w:rsid w:val="009B6029"/>
    <w:rsid w:val="009B6464"/>
    <w:rsid w:val="009B6971"/>
    <w:rsid w:val="009B6983"/>
    <w:rsid w:val="009C1B6E"/>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9F1B19"/>
    <w:rsid w:val="00A01757"/>
    <w:rsid w:val="00A028C0"/>
    <w:rsid w:val="00A02BAE"/>
    <w:rsid w:val="00A054E4"/>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490"/>
    <w:rsid w:val="00A67866"/>
    <w:rsid w:val="00A70B07"/>
    <w:rsid w:val="00A723F8"/>
    <w:rsid w:val="00A77CCB"/>
    <w:rsid w:val="00A811E4"/>
    <w:rsid w:val="00A81880"/>
    <w:rsid w:val="00A83D8D"/>
    <w:rsid w:val="00A83E19"/>
    <w:rsid w:val="00A8446B"/>
    <w:rsid w:val="00A8473F"/>
    <w:rsid w:val="00A862D6"/>
    <w:rsid w:val="00A8715E"/>
    <w:rsid w:val="00A87647"/>
    <w:rsid w:val="00A87EB8"/>
    <w:rsid w:val="00A9295B"/>
    <w:rsid w:val="00A93B09"/>
    <w:rsid w:val="00A952D7"/>
    <w:rsid w:val="00A963F7"/>
    <w:rsid w:val="00A96AD8"/>
    <w:rsid w:val="00AA052C"/>
    <w:rsid w:val="00AA1E45"/>
    <w:rsid w:val="00AA30E6"/>
    <w:rsid w:val="00AA4286"/>
    <w:rsid w:val="00AA456B"/>
    <w:rsid w:val="00AA4743"/>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D71BC"/>
    <w:rsid w:val="00AD7439"/>
    <w:rsid w:val="00AD7F27"/>
    <w:rsid w:val="00AE070A"/>
    <w:rsid w:val="00AE101C"/>
    <w:rsid w:val="00AE232F"/>
    <w:rsid w:val="00AE5EB4"/>
    <w:rsid w:val="00AF0C18"/>
    <w:rsid w:val="00AF47C5"/>
    <w:rsid w:val="00AF5398"/>
    <w:rsid w:val="00B049AF"/>
    <w:rsid w:val="00B064EC"/>
    <w:rsid w:val="00B07242"/>
    <w:rsid w:val="00B10534"/>
    <w:rsid w:val="00B113DB"/>
    <w:rsid w:val="00B11D8A"/>
    <w:rsid w:val="00B12981"/>
    <w:rsid w:val="00B147DD"/>
    <w:rsid w:val="00B156FD"/>
    <w:rsid w:val="00B21F61"/>
    <w:rsid w:val="00B2581F"/>
    <w:rsid w:val="00B261F1"/>
    <w:rsid w:val="00B265BC"/>
    <w:rsid w:val="00B27559"/>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5B26"/>
    <w:rsid w:val="00B66567"/>
    <w:rsid w:val="00B66F52"/>
    <w:rsid w:val="00B66FE5"/>
    <w:rsid w:val="00B72880"/>
    <w:rsid w:val="00B74D36"/>
    <w:rsid w:val="00B758BF"/>
    <w:rsid w:val="00B827A6"/>
    <w:rsid w:val="00B831CE"/>
    <w:rsid w:val="00B86677"/>
    <w:rsid w:val="00B87131"/>
    <w:rsid w:val="00B912B6"/>
    <w:rsid w:val="00B939B1"/>
    <w:rsid w:val="00B93E8A"/>
    <w:rsid w:val="00B96D40"/>
    <w:rsid w:val="00B97386"/>
    <w:rsid w:val="00B978DB"/>
    <w:rsid w:val="00BA263B"/>
    <w:rsid w:val="00BA42B2"/>
    <w:rsid w:val="00BA58D4"/>
    <w:rsid w:val="00BA5B9E"/>
    <w:rsid w:val="00BA7C9A"/>
    <w:rsid w:val="00BB5F8F"/>
    <w:rsid w:val="00BB657A"/>
    <w:rsid w:val="00BB6E53"/>
    <w:rsid w:val="00BC1A4E"/>
    <w:rsid w:val="00BC2C7C"/>
    <w:rsid w:val="00BC3A9C"/>
    <w:rsid w:val="00BC5DC7"/>
    <w:rsid w:val="00BC6B41"/>
    <w:rsid w:val="00BC6B8B"/>
    <w:rsid w:val="00BC73D8"/>
    <w:rsid w:val="00BC7CF6"/>
    <w:rsid w:val="00BD04C7"/>
    <w:rsid w:val="00BD3F22"/>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3787C"/>
    <w:rsid w:val="00C42130"/>
    <w:rsid w:val="00C423A4"/>
    <w:rsid w:val="00C44BF5"/>
    <w:rsid w:val="00C51502"/>
    <w:rsid w:val="00C521D6"/>
    <w:rsid w:val="00C55232"/>
    <w:rsid w:val="00C553A4"/>
    <w:rsid w:val="00C55A06"/>
    <w:rsid w:val="00C55D03"/>
    <w:rsid w:val="00C601BC"/>
    <w:rsid w:val="00C6329F"/>
    <w:rsid w:val="00C63340"/>
    <w:rsid w:val="00C643F9"/>
    <w:rsid w:val="00C64E95"/>
    <w:rsid w:val="00C6761A"/>
    <w:rsid w:val="00C71372"/>
    <w:rsid w:val="00C72410"/>
    <w:rsid w:val="00C7287F"/>
    <w:rsid w:val="00C74ED0"/>
    <w:rsid w:val="00C75034"/>
    <w:rsid w:val="00C80B67"/>
    <w:rsid w:val="00C80CB8"/>
    <w:rsid w:val="00C819F8"/>
    <w:rsid w:val="00C8248C"/>
    <w:rsid w:val="00C84E33"/>
    <w:rsid w:val="00C86D6F"/>
    <w:rsid w:val="00C905FC"/>
    <w:rsid w:val="00C90FED"/>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E769F"/>
    <w:rsid w:val="00CF048A"/>
    <w:rsid w:val="00CF0CCD"/>
    <w:rsid w:val="00CF155A"/>
    <w:rsid w:val="00CF2947"/>
    <w:rsid w:val="00CF40B3"/>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155"/>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4F5E"/>
    <w:rsid w:val="00D56D85"/>
    <w:rsid w:val="00D66846"/>
    <w:rsid w:val="00D675FB"/>
    <w:rsid w:val="00D71F25"/>
    <w:rsid w:val="00D77031"/>
    <w:rsid w:val="00D81136"/>
    <w:rsid w:val="00D827AC"/>
    <w:rsid w:val="00D84941"/>
    <w:rsid w:val="00D84FA1"/>
    <w:rsid w:val="00D851F0"/>
    <w:rsid w:val="00D86DB7"/>
    <w:rsid w:val="00D9060C"/>
    <w:rsid w:val="00D926D0"/>
    <w:rsid w:val="00D93030"/>
    <w:rsid w:val="00D950E1"/>
    <w:rsid w:val="00D952A6"/>
    <w:rsid w:val="00D97F99"/>
    <w:rsid w:val="00DA1E08"/>
    <w:rsid w:val="00DA24F8"/>
    <w:rsid w:val="00DA285E"/>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DF648B"/>
    <w:rsid w:val="00E001EC"/>
    <w:rsid w:val="00E01138"/>
    <w:rsid w:val="00E0289B"/>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59C6"/>
    <w:rsid w:val="00E56800"/>
    <w:rsid w:val="00E62FF9"/>
    <w:rsid w:val="00E635D6"/>
    <w:rsid w:val="00E639BC"/>
    <w:rsid w:val="00E664CC"/>
    <w:rsid w:val="00E70388"/>
    <w:rsid w:val="00E70B15"/>
    <w:rsid w:val="00E70F92"/>
    <w:rsid w:val="00E74C54"/>
    <w:rsid w:val="00E7619A"/>
    <w:rsid w:val="00E77A03"/>
    <w:rsid w:val="00E8105B"/>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4610"/>
    <w:rsid w:val="00EC5359"/>
    <w:rsid w:val="00EC562A"/>
    <w:rsid w:val="00ED067A"/>
    <w:rsid w:val="00ED2B50"/>
    <w:rsid w:val="00EE0350"/>
    <w:rsid w:val="00EE0719"/>
    <w:rsid w:val="00EE0E80"/>
    <w:rsid w:val="00EE613F"/>
    <w:rsid w:val="00EE6CB1"/>
    <w:rsid w:val="00EE7295"/>
    <w:rsid w:val="00EE7869"/>
    <w:rsid w:val="00EF054A"/>
    <w:rsid w:val="00EF3235"/>
    <w:rsid w:val="00EF3ADB"/>
    <w:rsid w:val="00EF7E72"/>
    <w:rsid w:val="00F01542"/>
    <w:rsid w:val="00F06D37"/>
    <w:rsid w:val="00F07B9D"/>
    <w:rsid w:val="00F10926"/>
    <w:rsid w:val="00F11586"/>
    <w:rsid w:val="00F1183B"/>
    <w:rsid w:val="00F11C9F"/>
    <w:rsid w:val="00F12263"/>
    <w:rsid w:val="00F1409D"/>
    <w:rsid w:val="00F14214"/>
    <w:rsid w:val="00F157A9"/>
    <w:rsid w:val="00F25A38"/>
    <w:rsid w:val="00F25BB6"/>
    <w:rsid w:val="00F26B7E"/>
    <w:rsid w:val="00F27A3B"/>
    <w:rsid w:val="00F33817"/>
    <w:rsid w:val="00F3447F"/>
    <w:rsid w:val="00F36B3B"/>
    <w:rsid w:val="00F420D5"/>
    <w:rsid w:val="00F449DA"/>
    <w:rsid w:val="00F451EA"/>
    <w:rsid w:val="00F45447"/>
    <w:rsid w:val="00F4551D"/>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2632"/>
    <w:rsid w:val="00F937B5"/>
    <w:rsid w:val="00F93A8A"/>
    <w:rsid w:val="00F949FB"/>
    <w:rsid w:val="00F95248"/>
    <w:rsid w:val="00F956A9"/>
    <w:rsid w:val="00F963ED"/>
    <w:rsid w:val="00F966CF"/>
    <w:rsid w:val="00F96CAE"/>
    <w:rsid w:val="00F97C99"/>
    <w:rsid w:val="00FA2E31"/>
    <w:rsid w:val="00FA662D"/>
    <w:rsid w:val="00FA6730"/>
    <w:rsid w:val="00FA73B1"/>
    <w:rsid w:val="00FB0CB9"/>
    <w:rsid w:val="00FB45F1"/>
    <w:rsid w:val="00FB4A72"/>
    <w:rsid w:val="00FB54E8"/>
    <w:rsid w:val="00FB7054"/>
    <w:rsid w:val="00FC17B7"/>
    <w:rsid w:val="00FC2CB7"/>
    <w:rsid w:val="00FC4090"/>
    <w:rsid w:val="00FC53FF"/>
    <w:rsid w:val="00FC55B4"/>
    <w:rsid w:val="00FD00E6"/>
    <w:rsid w:val="00FD09A1"/>
    <w:rsid w:val="00FD0CE3"/>
    <w:rsid w:val="00FD2A7C"/>
    <w:rsid w:val="00FD59EB"/>
    <w:rsid w:val="00FD7299"/>
    <w:rsid w:val="00FE1FBE"/>
    <w:rsid w:val="00FE2383"/>
    <w:rsid w:val="00FE3901"/>
    <w:rsid w:val="00FE39D3"/>
    <w:rsid w:val="00FE4BCE"/>
    <w:rsid w:val="00FE54AE"/>
    <w:rsid w:val="00FE576A"/>
    <w:rsid w:val="00FE7E79"/>
    <w:rsid w:val="00FF3E7D"/>
    <w:rsid w:val="00FF5B99"/>
    <w:rsid w:val="00FF6728"/>
    <w:rsid w:val="00FF730C"/>
    <w:rsid w:val="00FF73F4"/>
    <w:rsid w:val="00FF7CE4"/>
    <w:rsid w:val="00FF7E39"/>
    <w:rsid w:val="011149CC"/>
    <w:rsid w:val="01713D49"/>
    <w:rsid w:val="017A5E66"/>
    <w:rsid w:val="02CA0A21"/>
    <w:rsid w:val="02DC62AD"/>
    <w:rsid w:val="03A0060F"/>
    <w:rsid w:val="04BA10D5"/>
    <w:rsid w:val="050745CD"/>
    <w:rsid w:val="05252830"/>
    <w:rsid w:val="063F0EE3"/>
    <w:rsid w:val="06483581"/>
    <w:rsid w:val="06651CBE"/>
    <w:rsid w:val="0678487C"/>
    <w:rsid w:val="07FE4968"/>
    <w:rsid w:val="08760436"/>
    <w:rsid w:val="08F129A8"/>
    <w:rsid w:val="09481D57"/>
    <w:rsid w:val="096B3A2B"/>
    <w:rsid w:val="09863CFC"/>
    <w:rsid w:val="09864BCA"/>
    <w:rsid w:val="0A8A1B8B"/>
    <w:rsid w:val="0ABF0EF8"/>
    <w:rsid w:val="0B062DCB"/>
    <w:rsid w:val="0C27273F"/>
    <w:rsid w:val="0CD21ED4"/>
    <w:rsid w:val="104B4477"/>
    <w:rsid w:val="10822B76"/>
    <w:rsid w:val="10C355A3"/>
    <w:rsid w:val="11732F0E"/>
    <w:rsid w:val="118A3A9C"/>
    <w:rsid w:val="12406622"/>
    <w:rsid w:val="12434D04"/>
    <w:rsid w:val="14117786"/>
    <w:rsid w:val="14216B28"/>
    <w:rsid w:val="14287637"/>
    <w:rsid w:val="15766F30"/>
    <w:rsid w:val="18DE1F3C"/>
    <w:rsid w:val="18F31DE5"/>
    <w:rsid w:val="19AA66B3"/>
    <w:rsid w:val="1A475632"/>
    <w:rsid w:val="1B1E72B7"/>
    <w:rsid w:val="1B9B4505"/>
    <w:rsid w:val="1E4429E3"/>
    <w:rsid w:val="1FF6107E"/>
    <w:rsid w:val="20377F7B"/>
    <w:rsid w:val="21DE622C"/>
    <w:rsid w:val="220B7BD5"/>
    <w:rsid w:val="228B09F1"/>
    <w:rsid w:val="23551E62"/>
    <w:rsid w:val="24D259A4"/>
    <w:rsid w:val="275C3225"/>
    <w:rsid w:val="27801265"/>
    <w:rsid w:val="27A44741"/>
    <w:rsid w:val="2AEC5F48"/>
    <w:rsid w:val="2AF73E04"/>
    <w:rsid w:val="2C4E7F91"/>
    <w:rsid w:val="2E3A3986"/>
    <w:rsid w:val="2E8A6DD5"/>
    <w:rsid w:val="2E8F021C"/>
    <w:rsid w:val="2E95347B"/>
    <w:rsid w:val="301C09CF"/>
    <w:rsid w:val="309D61D2"/>
    <w:rsid w:val="30B97C13"/>
    <w:rsid w:val="31406899"/>
    <w:rsid w:val="32C84B45"/>
    <w:rsid w:val="32E778F9"/>
    <w:rsid w:val="3330588F"/>
    <w:rsid w:val="34670FD0"/>
    <w:rsid w:val="35FC399A"/>
    <w:rsid w:val="362F1FC2"/>
    <w:rsid w:val="36326C28"/>
    <w:rsid w:val="39551299"/>
    <w:rsid w:val="3ADC46EA"/>
    <w:rsid w:val="3BBB04D6"/>
    <w:rsid w:val="3BF15579"/>
    <w:rsid w:val="3C1B71A5"/>
    <w:rsid w:val="3C2229AD"/>
    <w:rsid w:val="3CD97DDF"/>
    <w:rsid w:val="3DC97D7D"/>
    <w:rsid w:val="3E456075"/>
    <w:rsid w:val="3EA907AF"/>
    <w:rsid w:val="3F625FCB"/>
    <w:rsid w:val="40536D04"/>
    <w:rsid w:val="41674E54"/>
    <w:rsid w:val="443765E4"/>
    <w:rsid w:val="45724D99"/>
    <w:rsid w:val="47B0750D"/>
    <w:rsid w:val="48EA192E"/>
    <w:rsid w:val="49B54134"/>
    <w:rsid w:val="4AB56450"/>
    <w:rsid w:val="4E1D336E"/>
    <w:rsid w:val="4E533E77"/>
    <w:rsid w:val="4F0B50BD"/>
    <w:rsid w:val="4FD86D75"/>
    <w:rsid w:val="50622A26"/>
    <w:rsid w:val="51432A7E"/>
    <w:rsid w:val="51962F33"/>
    <w:rsid w:val="52190057"/>
    <w:rsid w:val="526F14FA"/>
    <w:rsid w:val="536C1D08"/>
    <w:rsid w:val="571A5FFA"/>
    <w:rsid w:val="57880AC8"/>
    <w:rsid w:val="58C074B6"/>
    <w:rsid w:val="5A892A6C"/>
    <w:rsid w:val="5AD22196"/>
    <w:rsid w:val="5D154701"/>
    <w:rsid w:val="618C4CDB"/>
    <w:rsid w:val="62070FC1"/>
    <w:rsid w:val="62F74E19"/>
    <w:rsid w:val="63140C3A"/>
    <w:rsid w:val="634077D5"/>
    <w:rsid w:val="63D308B9"/>
    <w:rsid w:val="63F93835"/>
    <w:rsid w:val="64447E6A"/>
    <w:rsid w:val="65A01488"/>
    <w:rsid w:val="65E35A81"/>
    <w:rsid w:val="66D71BFB"/>
    <w:rsid w:val="68860EA9"/>
    <w:rsid w:val="69711D76"/>
    <w:rsid w:val="6A9708DE"/>
    <w:rsid w:val="6B491ECF"/>
    <w:rsid w:val="6CE135B9"/>
    <w:rsid w:val="6DAD4DED"/>
    <w:rsid w:val="6DCA00C1"/>
    <w:rsid w:val="70F66F24"/>
    <w:rsid w:val="74C2701A"/>
    <w:rsid w:val="74FE5BF8"/>
    <w:rsid w:val="75B514D0"/>
    <w:rsid w:val="75ED78A7"/>
    <w:rsid w:val="767D6A4C"/>
    <w:rsid w:val="78760DAF"/>
    <w:rsid w:val="79C263B3"/>
    <w:rsid w:val="79D746F7"/>
    <w:rsid w:val="7B804FA9"/>
    <w:rsid w:val="7D0E7BE4"/>
    <w:rsid w:val="7DDD35B6"/>
    <w:rsid w:val="7E370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50"/>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2"/>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51"/>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FollowedHyperlink"/>
    <w:basedOn w:val="30"/>
    <w:semiHidden/>
    <w:unhideWhenUsed/>
    <w:qFormat/>
    <w:uiPriority w:val="99"/>
    <w:rPr>
      <w:color w:val="954F72"/>
      <w:u w:val="single"/>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0"/>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6"/>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0"/>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0"/>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0"/>
    <w:qFormat/>
    <w:uiPriority w:val="0"/>
    <w:rPr>
      <w:rFonts w:ascii="黑体" w:eastAsia="黑体"/>
      <w:spacing w:val="85"/>
      <w:w w:val="100"/>
      <w:position w:val="3"/>
      <w:sz w:val="28"/>
      <w:szCs w:val="28"/>
    </w:rPr>
  </w:style>
  <w:style w:type="character" w:customStyle="1" w:styleId="234">
    <w:name w:val="段 Char"/>
    <w:link w:val="235"/>
    <w:qFormat/>
    <w:uiPriority w:val="0"/>
    <w:rPr>
      <w:rFonts w:ascii="宋体"/>
    </w:rPr>
  </w:style>
  <w:style w:type="paragraph" w:customStyle="1" w:styleId="235">
    <w:name w:val="段"/>
    <w:link w:val="234"/>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character" w:customStyle="1" w:styleId="236">
    <w:name w:val="一级条标题 Char"/>
    <w:link w:val="237"/>
    <w:qFormat/>
    <w:uiPriority w:val="0"/>
    <w:rPr>
      <w:rFonts w:ascii="黑体" w:eastAsia="黑体"/>
      <w:sz w:val="21"/>
      <w:szCs w:val="21"/>
    </w:rPr>
  </w:style>
  <w:style w:type="paragraph" w:customStyle="1" w:styleId="237">
    <w:name w:val="一级条标题"/>
    <w:next w:val="235"/>
    <w:link w:val="236"/>
    <w:qFormat/>
    <w:uiPriority w:val="0"/>
    <w:pPr>
      <w:spacing w:before="156" w:beforeLines="50" w:after="156" w:afterLines="50"/>
      <w:outlineLvl w:val="2"/>
    </w:pPr>
    <w:rPr>
      <w:rFonts w:ascii="黑体" w:hAnsi="Calibri" w:eastAsia="黑体" w:cs="Times New Roman"/>
      <w:sz w:val="21"/>
      <w:szCs w:val="21"/>
      <w:lang w:val="en-US" w:eastAsia="zh-CN" w:bidi="ar-SA"/>
    </w:rPr>
  </w:style>
  <w:style w:type="paragraph" w:customStyle="1" w:styleId="238">
    <w:name w:val="章标题"/>
    <w:next w:val="235"/>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styleId="239">
    <w:name w:val="List Paragraph"/>
    <w:basedOn w:val="1"/>
    <w:qFormat/>
    <w:uiPriority w:val="34"/>
    <w:pPr>
      <w:adjustRightInd/>
      <w:spacing w:line="240" w:lineRule="auto"/>
      <w:ind w:firstLine="420" w:firstLineChars="200"/>
    </w:pPr>
    <w:rPr>
      <w:szCs w:val="22"/>
    </w:rPr>
  </w:style>
  <w:style w:type="paragraph" w:customStyle="1" w:styleId="240">
    <w:name w:val="msonormal"/>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41">
    <w:name w:val="font5"/>
    <w:basedOn w:val="1"/>
    <w:qFormat/>
    <w:uiPriority w:val="0"/>
    <w:pPr>
      <w:widowControl/>
      <w:adjustRightInd/>
      <w:spacing w:before="100" w:beforeAutospacing="1" w:after="100" w:afterAutospacing="1" w:line="240" w:lineRule="auto"/>
      <w:jc w:val="left"/>
    </w:pPr>
    <w:rPr>
      <w:rFonts w:ascii="等线" w:hAnsi="等线" w:eastAsia="等线" w:cs="宋体"/>
      <w:kern w:val="0"/>
      <w:sz w:val="18"/>
      <w:szCs w:val="18"/>
    </w:rPr>
  </w:style>
  <w:style w:type="paragraph" w:customStyle="1" w:styleId="242">
    <w:name w:val="xl6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color w:val="000000"/>
      <w:kern w:val="0"/>
    </w:rPr>
  </w:style>
  <w:style w:type="paragraph" w:customStyle="1" w:styleId="243">
    <w:name w:val="xl6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color w:val="000000"/>
      <w:kern w:val="0"/>
    </w:rPr>
  </w:style>
  <w:style w:type="paragraph" w:customStyle="1" w:styleId="244">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kern w:val="0"/>
      <w:sz w:val="24"/>
      <w:szCs w:val="24"/>
    </w:rPr>
  </w:style>
  <w:style w:type="paragraph" w:customStyle="1" w:styleId="245">
    <w:name w:val="xl66"/>
    <w:basedOn w:val="1"/>
    <w:qFormat/>
    <w:uiPriority w:val="0"/>
    <w:pPr>
      <w:widowControl/>
      <w:adjustRightInd/>
      <w:spacing w:before="100" w:beforeAutospacing="1" w:after="100" w:afterAutospacing="1" w:line="240" w:lineRule="auto"/>
      <w:jc w:val="center"/>
    </w:pPr>
    <w:rPr>
      <w:rFonts w:ascii="宋体" w:hAnsi="宋体" w:cs="宋体"/>
      <w:kern w:val="0"/>
      <w:sz w:val="24"/>
      <w:szCs w:val="24"/>
    </w:rPr>
  </w:style>
  <w:style w:type="character" w:customStyle="1" w:styleId="246">
    <w:name w:val="font21"/>
    <w:basedOn w:val="30"/>
    <w:qFormat/>
    <w:uiPriority w:val="0"/>
    <w:rPr>
      <w:rFonts w:hint="default" w:ascii="Times New Roman" w:hAnsi="Times New Roman" w:cs="Times New Roman"/>
      <w:color w:val="000000"/>
      <w:sz w:val="18"/>
      <w:szCs w:val="18"/>
      <w:u w:val="none"/>
    </w:rPr>
  </w:style>
  <w:style w:type="character" w:customStyle="1" w:styleId="247">
    <w:name w:val="font11"/>
    <w:basedOn w:val="30"/>
    <w:qFormat/>
    <w:uiPriority w:val="0"/>
    <w:rPr>
      <w:rFonts w:hint="eastAsia" w:ascii="宋体" w:hAnsi="宋体" w:eastAsia="宋体"/>
      <w:color w:val="000000"/>
      <w:sz w:val="18"/>
      <w:szCs w:val="18"/>
      <w:u w:val="none"/>
    </w:rPr>
  </w:style>
  <w:style w:type="character" w:customStyle="1" w:styleId="248">
    <w:name w:val="font41"/>
    <w:basedOn w:val="30"/>
    <w:qFormat/>
    <w:uiPriority w:val="0"/>
    <w:rPr>
      <w:rFonts w:hint="eastAsia" w:ascii="宋体" w:hAnsi="宋体" w:eastAsia="宋体" w:cs="宋体"/>
      <w:color w:val="FF0000"/>
      <w:sz w:val="18"/>
      <w:szCs w:val="18"/>
      <w:u w:val="none"/>
    </w:rPr>
  </w:style>
  <w:style w:type="character" w:customStyle="1" w:styleId="249">
    <w:name w:val="font31"/>
    <w:basedOn w:val="30"/>
    <w:qFormat/>
    <w:uiPriority w:val="0"/>
    <w:rPr>
      <w:rFonts w:hint="eastAsia" w:ascii="宋体" w:hAnsi="宋体" w:eastAsia="宋体" w:cs="宋体"/>
      <w:color w:val="FF0000"/>
      <w:sz w:val="18"/>
      <w:szCs w:val="18"/>
      <w:u w:val="none"/>
    </w:rPr>
  </w:style>
  <w:style w:type="character" w:customStyle="1" w:styleId="250">
    <w:name w:val="批注文字 字符"/>
    <w:basedOn w:val="30"/>
    <w:link w:val="13"/>
    <w:qFormat/>
    <w:uiPriority w:val="99"/>
    <w:rPr>
      <w:rFonts w:ascii="Calibri" w:hAnsi="Calibri"/>
      <w:kern w:val="2"/>
      <w:sz w:val="21"/>
      <w:szCs w:val="21"/>
    </w:rPr>
  </w:style>
  <w:style w:type="character" w:customStyle="1" w:styleId="251">
    <w:name w:val="批注主题 字符"/>
    <w:basedOn w:val="250"/>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glossaryDocument" Target="glossary/document.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theme" Target="theme/theme1.xml"/><Relationship Id="rId36" Type="http://schemas.openxmlformats.org/officeDocument/2006/relationships/footer" Target="footer17.xml"/><Relationship Id="rId35" Type="http://schemas.openxmlformats.org/officeDocument/2006/relationships/footer" Target="footer16.xml"/><Relationship Id="rId34" Type="http://schemas.openxmlformats.org/officeDocument/2006/relationships/header" Target="header15.xml"/><Relationship Id="rId33" Type="http://schemas.openxmlformats.org/officeDocument/2006/relationships/header" Target="header14.xml"/><Relationship Id="rId32" Type="http://schemas.openxmlformats.org/officeDocument/2006/relationships/footer" Target="footer15.xml"/><Relationship Id="rId31" Type="http://schemas.openxmlformats.org/officeDocument/2006/relationships/footer" Target="footer14.xml"/><Relationship Id="rId30" Type="http://schemas.openxmlformats.org/officeDocument/2006/relationships/header" Target="header13.xml"/><Relationship Id="rId3" Type="http://schemas.openxmlformats.org/officeDocument/2006/relationships/footnotes" Target="footnotes.xml"/><Relationship Id="rId29" Type="http://schemas.openxmlformats.org/officeDocument/2006/relationships/header" Target="header12.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9.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AB337F728744FA9C5D21BB9B5C6792"/>
        <w:style w:val=""/>
        <w:category>
          <w:name w:val="常规"/>
          <w:gallery w:val="placeholder"/>
        </w:category>
        <w:types>
          <w:type w:val="bbPlcHdr"/>
        </w:types>
        <w:behaviors>
          <w:behavior w:val="content"/>
        </w:behaviors>
        <w:description w:val=""/>
        <w:guid w:val="{9EE7139C-D126-4383-89D2-475C1C1D7862}"/>
      </w:docPartPr>
      <w:docPartBody>
        <w:p>
          <w:pPr>
            <w:pStyle w:val="5"/>
          </w:pPr>
          <w:r>
            <w:rPr>
              <w:rStyle w:val="4"/>
              <w:rFonts w:hint="eastAsia"/>
            </w:rPr>
            <w:t>单击或点击此处输入文字。</w:t>
          </w:r>
        </w:p>
      </w:docPartBody>
    </w:docPart>
    <w:docPart>
      <w:docPartPr>
        <w:name w:val="11470E25B32444788813503EAA447933"/>
        <w:style w:val=""/>
        <w:category>
          <w:name w:val="常规"/>
          <w:gallery w:val="placeholder"/>
        </w:category>
        <w:types>
          <w:type w:val="bbPlcHdr"/>
        </w:types>
        <w:behaviors>
          <w:behavior w:val="content"/>
        </w:behaviors>
        <w:description w:val=""/>
        <w:guid w:val="{2EECF7F3-5E91-4396-A8EC-6BECCC7199FF}"/>
      </w:docPartPr>
      <w:docPartBody>
        <w:p>
          <w:pPr>
            <w:pStyle w:val="6"/>
          </w:pPr>
          <w:r>
            <w:rPr>
              <w:rStyle w:val="4"/>
              <w:rFonts w:hint="eastAsia"/>
            </w:rPr>
            <w:t>选择一项。</w:t>
          </w:r>
        </w:p>
      </w:docPartBody>
    </w:docPart>
    <w:docPart>
      <w:docPartPr>
        <w:name w:val="1F979ADD4F7E4C729A8A84CA5F9E60BF"/>
        <w:style w:val=""/>
        <w:category>
          <w:name w:val="常规"/>
          <w:gallery w:val="placeholder"/>
        </w:category>
        <w:types>
          <w:type w:val="bbPlcHdr"/>
        </w:types>
        <w:behaviors>
          <w:behavior w:val="content"/>
        </w:behaviors>
        <w:description w:val=""/>
        <w:guid w:val="{CF36ECC1-7F66-4213-92A7-AF7AF3CF391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ACC"/>
    <w:rsid w:val="00107ACC"/>
    <w:rsid w:val="00110FB7"/>
    <w:rsid w:val="001410F7"/>
    <w:rsid w:val="00186363"/>
    <w:rsid w:val="001F7E97"/>
    <w:rsid w:val="002126CB"/>
    <w:rsid w:val="00236CA7"/>
    <w:rsid w:val="00304BB4"/>
    <w:rsid w:val="0036370F"/>
    <w:rsid w:val="003C455B"/>
    <w:rsid w:val="003D7471"/>
    <w:rsid w:val="0040178E"/>
    <w:rsid w:val="00424CC1"/>
    <w:rsid w:val="00516F2A"/>
    <w:rsid w:val="00526DAC"/>
    <w:rsid w:val="00560A86"/>
    <w:rsid w:val="00571E55"/>
    <w:rsid w:val="00595777"/>
    <w:rsid w:val="00600280"/>
    <w:rsid w:val="00601871"/>
    <w:rsid w:val="006132B8"/>
    <w:rsid w:val="006D1B4B"/>
    <w:rsid w:val="00771C1C"/>
    <w:rsid w:val="00777273"/>
    <w:rsid w:val="007A2FE0"/>
    <w:rsid w:val="008A7666"/>
    <w:rsid w:val="00924D23"/>
    <w:rsid w:val="009B4A35"/>
    <w:rsid w:val="00A43D82"/>
    <w:rsid w:val="00C0427B"/>
    <w:rsid w:val="00C33CEB"/>
    <w:rsid w:val="00C36008"/>
    <w:rsid w:val="00C924E8"/>
    <w:rsid w:val="00CD1A57"/>
    <w:rsid w:val="00D43DA5"/>
    <w:rsid w:val="00E560DF"/>
    <w:rsid w:val="00E614D8"/>
    <w:rsid w:val="00EC0025"/>
    <w:rsid w:val="00ED5380"/>
    <w:rsid w:val="00F1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1AB337F728744FA9C5D21BB9B5C67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1470E25B32444788813503EAA4479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F979ADD4F7E4C729A8A84CA5F9E60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737CC8-938F-42C8-8ACA-4697E3D093CF}">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15</Pages>
  <Words>2697</Words>
  <Characters>3845</Characters>
  <Lines>36</Lines>
  <Paragraphs>10</Paragraphs>
  <TotalTime>5</TotalTime>
  <ScaleCrop>false</ScaleCrop>
  <LinksUpToDate>false</LinksUpToDate>
  <CharactersWithSpaces>4017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2024-04-02T02:00:00Z</dcterms:created>
  <dc:creator>Administrator</dc:creator>
  <dc:description>&lt;config cover="true" show_menu="true" version="1.0.0" doctype="SDKXY"&gt;_x000d_
&lt;/config&gt;</dc:description>
  <cp:lastModifiedBy>Gao Yan</cp:lastModifiedBy>
  <cp:lastPrinted>2025-05-15T00:43:00Z</cp:lastPrinted>
  <dcterms:modified xsi:type="dcterms:W3CDTF">2025-05-30T01:34:42Z</dcterms:modified>
  <dc:title>行业标准</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1EF9F2EE42444C85A79F7FB0874B3EF2_13</vt:lpwstr>
  </property>
  <property fmtid="{D5CDD505-2E9C-101B-9397-08002B2CF9AE}" pid="16" name="KSOTemplateDocerSaveRecord">
    <vt:lpwstr>eyJoZGlkIjoiNWM2ZDgzNzQzMTM0ZmMyYTYyZjBlZjdjZDJjNGI1OWUifQ==</vt:lpwstr>
  </property>
  <property fmtid="{D5CDD505-2E9C-101B-9397-08002B2CF9AE}" pid="17" name="DoublePage">
    <vt:lpwstr>true</vt:lpwstr>
  </property>
</Properties>
</file>